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color w:val="000000"/>
          <w:sz w:val="44"/>
          <w:szCs w:val="44"/>
          <w:u w:val="none"/>
        </w:rPr>
        <w:t>关于公开征集</w:t>
      </w:r>
      <w:r>
        <w:rPr>
          <w:rFonts w:hint="default" w:ascii="Times New Roman" w:hAnsi="Times New Roman" w:eastAsia="方正小标宋简体" w:cs="Times New Roman"/>
          <w:color w:val="000000"/>
          <w:sz w:val="44"/>
          <w:szCs w:val="44"/>
        </w:rPr>
        <w:t>第</w:t>
      </w:r>
      <w:r>
        <w:rPr>
          <w:rFonts w:hint="default" w:ascii="Times New Roman" w:hAnsi="Times New Roman" w:eastAsia="方正小标宋简体" w:cs="Times New Roman"/>
          <w:color w:val="000000"/>
          <w:sz w:val="44"/>
          <w:szCs w:val="44"/>
          <w:lang w:val="en-US" w:eastAsia="zh-CN"/>
        </w:rPr>
        <w:t>十</w:t>
      </w:r>
      <w:r>
        <w:rPr>
          <w:rFonts w:hint="default" w:ascii="Times New Roman" w:hAnsi="Times New Roman" w:eastAsia="方正小标宋简体" w:cs="Times New Roman"/>
          <w:color w:val="000000"/>
          <w:sz w:val="44"/>
          <w:szCs w:val="44"/>
        </w:rPr>
        <w:t>届中国</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上海</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国际技术进出口交易会</w:t>
      </w:r>
      <w:r>
        <w:rPr>
          <w:rFonts w:hint="default" w:ascii="Times New Roman" w:hAnsi="Times New Roman" w:eastAsia="方正小标宋简体" w:cs="Times New Roman"/>
          <w:color w:val="000000"/>
          <w:sz w:val="44"/>
          <w:szCs w:val="44"/>
          <w:u w:val="none"/>
        </w:rPr>
        <w:t>广西展览馆搭建服务项目</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color w:val="000000"/>
          <w:sz w:val="44"/>
          <w:szCs w:val="44"/>
          <w:u w:val="none"/>
        </w:rPr>
        <w:t>承办单位的公告</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中国（上海）国际技术进出口交易会（简称“上交会”）是国内首个集技术展示和交易服务为一体的国际性、综合性展会，将于202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年6月12</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至14日在上海市举办</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lang w:eastAsia="zh-CN"/>
        </w:rPr>
        <w:t>作为采购人，为做好展团的有关服务工作，现对第十届中国（上海）国际技术进出口交易会展览馆搭建服务项目进行招标采购，向社会邀请符合条件的企业参与竞争，具体要求公告如下：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第十届中国（上海）国际技术进出口交易会广西展览馆搭建服务项目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二、服务内容和要求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（一）2</w:t>
      </w:r>
      <w:r>
        <w:rPr>
          <w:rFonts w:hint="default" w:ascii="Times New Roman" w:hAnsi="Times New Roman" w:eastAsia="仿宋_GB2312" w:cs="Times New Roman"/>
          <w:sz w:val="32"/>
          <w:szCs w:val="32"/>
        </w:rPr>
        <w:t>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w:t>
      </w:r>
      <w:r>
        <w:rPr>
          <w:rFonts w:hint="default" w:ascii="Times New Roman" w:hAnsi="Times New Roman" w:eastAsia="仿宋_GB2312" w:cs="Times New Roman"/>
          <w:sz w:val="32"/>
          <w:szCs w:val="32"/>
          <w:lang w:val="en-US" w:eastAsia="zh-CN"/>
        </w:rPr>
        <w:t>10日</w:t>
      </w:r>
      <w:r>
        <w:rPr>
          <w:rFonts w:hint="default" w:ascii="Times New Roman" w:hAnsi="Times New Roman" w:eastAsia="仿宋_GB2312" w:cs="Times New Roman"/>
          <w:sz w:val="32"/>
          <w:szCs w:val="32"/>
        </w:rPr>
        <w:t>至14日</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天）（暂定，以展会实际活动时间及采购人要求为准）；在</w:t>
      </w:r>
      <w:r>
        <w:rPr>
          <w:rFonts w:hint="default" w:ascii="Times New Roman" w:hAnsi="Times New Roman" w:eastAsia="仿宋_GB2312" w:cs="Times New Roman"/>
          <w:sz w:val="32"/>
          <w:szCs w:val="32"/>
          <w:lang w:val="en-US" w:eastAsia="zh-CN"/>
        </w:rPr>
        <w:t>上海市</w:t>
      </w:r>
      <w:r>
        <w:rPr>
          <w:rFonts w:hint="default" w:ascii="Times New Roman" w:hAnsi="Times New Roman" w:eastAsia="仿宋_GB2312" w:cs="Times New Roman"/>
          <w:sz w:val="32"/>
          <w:szCs w:val="32"/>
        </w:rPr>
        <w:t>上海世博展览馆</w:t>
      </w:r>
      <w:r>
        <w:rPr>
          <w:rFonts w:hint="default" w:ascii="Times New Roman" w:hAnsi="Times New Roman" w:eastAsia="仿宋_GB2312" w:cs="Times New Roman"/>
          <w:sz w:val="32"/>
          <w:szCs w:val="32"/>
          <w:lang w:eastAsia="zh-CN"/>
        </w:rPr>
        <w:t>搭建第十届中国（上海）国际技术进出口交易会广西展览馆，展台面积：</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lang w:eastAsia="zh-CN"/>
        </w:rPr>
        <w:t>平方米（</w:t>
      </w:r>
      <w:r>
        <w:rPr>
          <w:rFonts w:hint="default" w:ascii="Times New Roman" w:hAnsi="Times New Roman" w:eastAsia="仿宋_GB2312" w:cs="Times New Roman"/>
          <w:sz w:val="32"/>
          <w:szCs w:val="32"/>
          <w:lang w:val="en-US" w:eastAsia="zh-CN"/>
        </w:rPr>
        <w:t>9米*11米</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（二）安排展期值班人员，协助展商办理布展、撤展、邮寄等展览组织管理事项</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（三）协助优化设计，根据设计图纸绘制施工图，进行工厂结构制作，多媒体展示内容制作，平面展示内容制作。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（四）负责展品运输、仓储，现场布置及管理。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三、服务保障要求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（一）根据采购单位确定的展示主题定位进行第十届中国（上海）国际技术进出口交易会广西展览馆搭建服务项目的总体策划、布局。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（二）总体策划、布局要求主题突出，空间布局合理，采取图片、实物、大屏幕LED相结合的展现形式。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（三）成交供应商需按照第十届中国（上海）国际技术进出口交易会布展有关规定的时间、流程及相关要求进行布展及搭建、撤展工作。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四、竞争条件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具有提供第十届中国（上海）国际技术进出口交易会广西展览馆搭建服务项目能力的单位。不接受联合体采购。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五、需提交的竞争文件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（一）有效的营业执照等证明文件复印件。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（二）法定代表人身份证正、反面复印件。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（三）法定代表人授权委托书原件和委托代理人身份证正、反面复印件。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（四）财务状况报告。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）近三年类似业绩。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）项目服务方案。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eastAsia="zh-CN"/>
        </w:rPr>
        <w:t>）报价表。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以上材料验原件后留存复印件，复印件需盖单位公章并装订成册。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六、评审标准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（一）对进入详评的，采用百分制综合评分法。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（二）计分办法：位按四舍五入取至小数点后两位。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tbl>
      <w:tblPr>
        <w:tblStyle w:val="4"/>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83"/>
        <w:gridCol w:w="1634"/>
        <w:gridCol w:w="900"/>
        <w:gridCol w:w="29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34" w:type="dxa"/>
            <w:noWrap w:val="0"/>
            <w:vAlign w:val="center"/>
          </w:tcPr>
          <w:p>
            <w:pPr>
              <w:jc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序号</w:t>
            </w:r>
          </w:p>
        </w:tc>
        <w:tc>
          <w:tcPr>
            <w:tcW w:w="3217" w:type="dxa"/>
            <w:gridSpan w:val="2"/>
            <w:noWrap w:val="0"/>
            <w:vAlign w:val="center"/>
          </w:tcPr>
          <w:p>
            <w:pPr>
              <w:jc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评审因素及分值</w:t>
            </w:r>
          </w:p>
        </w:tc>
        <w:tc>
          <w:tcPr>
            <w:tcW w:w="900" w:type="dxa"/>
            <w:noWrap w:val="0"/>
            <w:vAlign w:val="center"/>
          </w:tcPr>
          <w:p>
            <w:pPr>
              <w:jc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分值</w:t>
            </w:r>
          </w:p>
          <w:p>
            <w:pPr>
              <w:jc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属性</w:t>
            </w:r>
          </w:p>
        </w:tc>
        <w:tc>
          <w:tcPr>
            <w:tcW w:w="2903" w:type="dxa"/>
            <w:noWrap w:val="0"/>
            <w:vAlign w:val="center"/>
          </w:tcPr>
          <w:p>
            <w:pPr>
              <w:jc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评审标准</w:t>
            </w:r>
          </w:p>
        </w:tc>
        <w:tc>
          <w:tcPr>
            <w:tcW w:w="2127" w:type="dxa"/>
            <w:noWrap w:val="0"/>
            <w:vAlign w:val="center"/>
          </w:tcPr>
          <w:p>
            <w:pPr>
              <w:jc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34" w:type="dxa"/>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1583" w:type="dxa"/>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rPr>
              <w:t>商务部分（</w:t>
            </w:r>
            <w:r>
              <w:rPr>
                <w:rFonts w:hint="default" w:ascii="Times New Roman" w:hAnsi="Times New Roman" w:eastAsia="仿宋_GB2312" w:cs="Times New Roman"/>
                <w:color w:val="000000"/>
                <w:lang w:val="en-US" w:eastAsia="zh-CN"/>
              </w:rPr>
              <w:t>25</w:t>
            </w:r>
            <w:r>
              <w:rPr>
                <w:rFonts w:hint="default" w:ascii="Times New Roman" w:hAnsi="Times New Roman" w:eastAsia="仿宋_GB2312" w:cs="Times New Roman"/>
                <w:color w:val="000000"/>
              </w:rPr>
              <w:t>分）</w:t>
            </w:r>
          </w:p>
        </w:tc>
        <w:tc>
          <w:tcPr>
            <w:tcW w:w="1634" w:type="dxa"/>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业绩（</w:t>
            </w:r>
            <w:r>
              <w:rPr>
                <w:rFonts w:hint="default" w:ascii="Times New Roman" w:hAnsi="Times New Roman" w:eastAsia="仿宋_GB2312" w:cs="Times New Roman"/>
                <w:color w:val="000000"/>
                <w:szCs w:val="21"/>
                <w:lang w:val="en-US" w:eastAsia="zh-CN"/>
              </w:rPr>
              <w:t>25</w:t>
            </w:r>
            <w:r>
              <w:rPr>
                <w:rFonts w:hint="default" w:ascii="Times New Roman" w:hAnsi="Times New Roman" w:eastAsia="仿宋_GB2312" w:cs="Times New Roman"/>
                <w:color w:val="000000"/>
                <w:szCs w:val="21"/>
              </w:rPr>
              <w:t>分）</w:t>
            </w:r>
          </w:p>
        </w:tc>
        <w:tc>
          <w:tcPr>
            <w:tcW w:w="900" w:type="dxa"/>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客观分</w:t>
            </w:r>
          </w:p>
        </w:tc>
        <w:tc>
          <w:tcPr>
            <w:tcW w:w="2903" w:type="dxa"/>
            <w:noWrap w:val="0"/>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有区内外活动展览馆搭建经验的，完成过展位整体形象设计搭建工作的，每完成一个项目得5分，满分25分。</w:t>
            </w:r>
          </w:p>
        </w:tc>
        <w:tc>
          <w:tcPr>
            <w:tcW w:w="2127" w:type="dxa"/>
            <w:noWrap w:val="0"/>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必须提供证明材料；以成交通知书或合同复印件为准。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c>
          <w:tcPr>
            <w:tcW w:w="1583" w:type="dxa"/>
            <w:vMerge w:val="restart"/>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rPr>
              <w:t>技术部分（</w:t>
            </w:r>
            <w:r>
              <w:rPr>
                <w:rFonts w:hint="default" w:ascii="Times New Roman" w:hAnsi="Times New Roman" w:eastAsia="仿宋_GB2312" w:cs="Times New Roman"/>
                <w:color w:val="000000"/>
                <w:lang w:val="en-US" w:eastAsia="zh-CN"/>
              </w:rPr>
              <w:t>66</w:t>
            </w:r>
            <w:r>
              <w:rPr>
                <w:rFonts w:hint="default" w:ascii="Times New Roman" w:hAnsi="Times New Roman" w:eastAsia="仿宋_GB2312" w:cs="Times New Roman"/>
                <w:color w:val="000000"/>
              </w:rPr>
              <w:t>分）</w:t>
            </w:r>
          </w:p>
        </w:tc>
        <w:tc>
          <w:tcPr>
            <w:tcW w:w="1634" w:type="dxa"/>
            <w:noWrap w:val="0"/>
            <w:vAlign w:val="center"/>
          </w:tcPr>
          <w:p>
            <w:pPr>
              <w:spacing w:line="360" w:lineRule="auto"/>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kern w:val="0"/>
              </w:rPr>
              <w:t>实施（搭建）方案（</w:t>
            </w:r>
            <w:r>
              <w:rPr>
                <w:rFonts w:hint="default" w:ascii="Times New Roman" w:hAnsi="Times New Roman" w:eastAsia="仿宋_GB2312" w:cs="Times New Roman"/>
                <w:bCs/>
                <w:color w:val="000000"/>
                <w:kern w:val="0"/>
                <w:lang w:val="en-US" w:eastAsia="zh-CN"/>
              </w:rPr>
              <w:t>30</w:t>
            </w:r>
            <w:r>
              <w:rPr>
                <w:rFonts w:hint="default" w:ascii="Times New Roman" w:hAnsi="Times New Roman" w:eastAsia="仿宋_GB2312" w:cs="Times New Roman"/>
                <w:bCs/>
                <w:color w:val="000000"/>
                <w:kern w:val="0"/>
              </w:rPr>
              <w:t>分）</w:t>
            </w:r>
          </w:p>
        </w:tc>
        <w:tc>
          <w:tcPr>
            <w:tcW w:w="900" w:type="dxa"/>
            <w:tcBorders>
              <w:top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主观分</w:t>
            </w:r>
          </w:p>
        </w:tc>
        <w:tc>
          <w:tcPr>
            <w:tcW w:w="2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Cs/>
                <w:color w:val="000000"/>
                <w:szCs w:val="21"/>
              </w:rPr>
            </w:pPr>
            <w:r>
              <w:rPr>
                <w:rFonts w:hint="default" w:ascii="Times New Roman" w:hAnsi="Times New Roman" w:eastAsia="仿宋_GB2312" w:cs="Times New Roman"/>
                <w:bCs/>
                <w:color w:val="000000"/>
                <w:szCs w:val="21"/>
              </w:rPr>
              <w:t>一档（</w:t>
            </w:r>
            <w:r>
              <w:rPr>
                <w:rFonts w:hint="default" w:ascii="Times New Roman" w:hAnsi="Times New Roman" w:eastAsia="仿宋_GB2312" w:cs="Times New Roman"/>
                <w:bCs/>
                <w:color w:val="000000"/>
                <w:szCs w:val="21"/>
                <w:lang w:val="en-US" w:eastAsia="zh-CN"/>
              </w:rPr>
              <w:t>10</w:t>
            </w:r>
            <w:r>
              <w:rPr>
                <w:rFonts w:hint="default" w:ascii="Times New Roman" w:hAnsi="Times New Roman" w:eastAsia="仿宋_GB2312" w:cs="Times New Roman"/>
                <w:bCs/>
                <w:color w:val="000000"/>
                <w:szCs w:val="21"/>
              </w:rPr>
              <w:t>分）：提供有简单的实施（搭建）方案，包含有1-2项（实施计划、拟投入本项目人员情况）等内容，但不详细，基本满足项目要求，</w:t>
            </w:r>
            <w:r>
              <w:rPr>
                <w:rFonts w:hint="default" w:ascii="Times New Roman" w:hAnsi="Times New Roman" w:eastAsia="仿宋_GB2312" w:cs="Times New Roman"/>
                <w:color w:val="000000"/>
                <w:szCs w:val="21"/>
              </w:rPr>
              <w:t>有简单的项目进度安排，各阶段工作安排不够明确</w:t>
            </w:r>
            <w:r>
              <w:rPr>
                <w:rFonts w:hint="default" w:ascii="Times New Roman" w:hAnsi="Times New Roman" w:eastAsia="仿宋_GB2312" w:cs="Times New Roman"/>
                <w:bCs/>
                <w:color w:val="000000"/>
                <w:szCs w:val="21"/>
              </w:rPr>
              <w:t>。</w:t>
            </w:r>
          </w:p>
          <w:p>
            <w:pPr>
              <w:jc w:val="left"/>
              <w:rPr>
                <w:rFonts w:hint="default" w:ascii="Times New Roman" w:hAnsi="Times New Roman" w:eastAsia="仿宋_GB2312" w:cs="Times New Roman"/>
                <w:bCs/>
                <w:color w:val="000000"/>
                <w:szCs w:val="21"/>
              </w:rPr>
            </w:pPr>
            <w:r>
              <w:rPr>
                <w:rFonts w:hint="default" w:ascii="Times New Roman" w:hAnsi="Times New Roman" w:eastAsia="仿宋_GB2312" w:cs="Times New Roman"/>
                <w:bCs/>
                <w:color w:val="000000"/>
                <w:szCs w:val="21"/>
              </w:rPr>
              <w:t>二档（</w:t>
            </w:r>
            <w:r>
              <w:rPr>
                <w:rFonts w:hint="default" w:ascii="Times New Roman" w:hAnsi="Times New Roman" w:eastAsia="仿宋_GB2312" w:cs="Times New Roman"/>
                <w:bCs/>
                <w:color w:val="000000"/>
                <w:szCs w:val="21"/>
                <w:lang w:val="en-US" w:eastAsia="zh-CN"/>
              </w:rPr>
              <w:t>20</w:t>
            </w:r>
            <w:r>
              <w:rPr>
                <w:rFonts w:hint="default" w:ascii="Times New Roman" w:hAnsi="Times New Roman" w:eastAsia="仿宋_GB2312" w:cs="Times New Roman"/>
                <w:bCs/>
                <w:color w:val="000000"/>
                <w:szCs w:val="21"/>
              </w:rPr>
              <w:t>分）：提供较详细的实施（搭建）方案，包含有3-4项（项目的总体需求理解、实施计划、拟投入本项目人员情况、项目的质量保证措施）等内容，</w:t>
            </w:r>
            <w:r>
              <w:rPr>
                <w:rFonts w:hint="default" w:ascii="Times New Roman" w:hAnsi="Times New Roman" w:eastAsia="仿宋_GB2312" w:cs="Times New Roman"/>
                <w:color w:val="000000"/>
                <w:szCs w:val="21"/>
              </w:rPr>
              <w:t>有项目进度安排，各阶段工作安排比较全面、合理，</w:t>
            </w:r>
            <w:r>
              <w:rPr>
                <w:rFonts w:hint="default" w:ascii="Times New Roman" w:hAnsi="Times New Roman" w:eastAsia="仿宋_GB2312" w:cs="Times New Roman"/>
                <w:bCs/>
                <w:color w:val="000000"/>
                <w:szCs w:val="21"/>
              </w:rPr>
              <w:t>项目进度有保证。</w:t>
            </w:r>
          </w:p>
          <w:p>
            <w:pP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szCs w:val="21"/>
              </w:rPr>
              <w:t>三档（</w:t>
            </w:r>
            <w:r>
              <w:rPr>
                <w:rFonts w:hint="default" w:ascii="Times New Roman" w:hAnsi="Times New Roman" w:eastAsia="仿宋_GB2312" w:cs="Times New Roman"/>
                <w:bCs/>
                <w:color w:val="000000"/>
                <w:szCs w:val="21"/>
                <w:lang w:val="en-US" w:eastAsia="zh-CN"/>
              </w:rPr>
              <w:t>30</w:t>
            </w:r>
            <w:r>
              <w:rPr>
                <w:rFonts w:hint="default" w:ascii="Times New Roman" w:hAnsi="Times New Roman" w:eastAsia="仿宋_GB2312" w:cs="Times New Roman"/>
                <w:bCs/>
                <w:color w:val="000000"/>
                <w:szCs w:val="21"/>
              </w:rPr>
              <w:t>分）：提供详细的实施（搭建）方案，包含有5项及以上（项目的总体需求理解、项目的质量保证措施、实施计划、拟投入本项目人员情况、进度安排、突发事件应急预案）等内容，能满足项目实施要求，</w:t>
            </w:r>
            <w:r>
              <w:rPr>
                <w:rFonts w:hint="default" w:ascii="Times New Roman" w:hAnsi="Times New Roman" w:eastAsia="仿宋_GB2312" w:cs="Times New Roman"/>
                <w:color w:val="000000"/>
                <w:szCs w:val="21"/>
              </w:rPr>
              <w:t>各阶段项目进度安排全面、合理，内容详细完整，安全性及可操作性强，进度保证措施科学可靠。</w:t>
            </w:r>
          </w:p>
        </w:tc>
        <w:tc>
          <w:tcPr>
            <w:tcW w:w="2127" w:type="dxa"/>
            <w:tcBorders>
              <w:top w:val="single" w:color="auto" w:sz="4" w:space="0"/>
              <w:left w:val="single" w:color="auto" w:sz="4" w:space="0"/>
              <w:right w:val="single" w:color="auto" w:sz="4" w:space="0"/>
            </w:tcBorders>
            <w:noWrap w:val="0"/>
            <w:vAlign w:val="center"/>
          </w:tcPr>
          <w:p>
            <w:pPr>
              <w:rPr>
                <w:rFonts w:hint="default" w:ascii="Times New Roman" w:hAnsi="Times New Roman" w:eastAsia="仿宋_GB2312" w:cs="Times New Roman"/>
                <w:color w:val="000000"/>
              </w:rPr>
            </w:pPr>
            <w:r>
              <w:rPr>
                <w:rFonts w:hint="default" w:ascii="Times New Roman" w:hAnsi="Times New Roman" w:eastAsia="仿宋_GB2312" w:cs="Times New Roman"/>
                <w:color w:val="000000"/>
                <w:szCs w:val="21"/>
              </w:rPr>
              <w:t>未提供此项内容得0分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jc w:val="center"/>
              <w:rPr>
                <w:rFonts w:hint="default" w:ascii="Times New Roman" w:hAnsi="Times New Roman" w:eastAsia="仿宋_GB2312" w:cs="Times New Roman"/>
                <w:color w:val="000000"/>
                <w:szCs w:val="21"/>
              </w:rPr>
            </w:pPr>
          </w:p>
        </w:tc>
        <w:tc>
          <w:tcPr>
            <w:tcW w:w="1583" w:type="dxa"/>
            <w:vMerge w:val="continue"/>
            <w:noWrap w:val="0"/>
            <w:vAlign w:val="center"/>
          </w:tcPr>
          <w:p>
            <w:pPr>
              <w:jc w:val="center"/>
              <w:rPr>
                <w:rFonts w:hint="default" w:ascii="Times New Roman" w:hAnsi="Times New Roman" w:eastAsia="仿宋_GB2312" w:cs="Times New Roman"/>
                <w:color w:val="000000"/>
                <w:szCs w:val="21"/>
              </w:rPr>
            </w:pPr>
          </w:p>
        </w:tc>
        <w:tc>
          <w:tcPr>
            <w:tcW w:w="1634" w:type="dxa"/>
            <w:noWrap w:val="0"/>
            <w:vAlign w:val="center"/>
          </w:tcPr>
          <w:p>
            <w:pPr>
              <w:spacing w:line="360" w:lineRule="auto"/>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布撤展执行方案（15分）</w:t>
            </w:r>
          </w:p>
        </w:tc>
        <w:tc>
          <w:tcPr>
            <w:tcW w:w="900" w:type="dxa"/>
            <w:tcBorders>
              <w:right w:val="single" w:color="auto" w:sz="4" w:space="0"/>
            </w:tcBorders>
            <w:noWrap w:val="0"/>
            <w:vAlign w:val="center"/>
          </w:tcPr>
          <w:p>
            <w:pPr>
              <w:spacing w:line="360" w:lineRule="auto"/>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主观分</w:t>
            </w:r>
          </w:p>
        </w:tc>
        <w:tc>
          <w:tcPr>
            <w:tcW w:w="2903" w:type="dxa"/>
            <w:tcBorders>
              <w:left w:val="single" w:color="auto" w:sz="4" w:space="0"/>
              <w:right w:val="single" w:color="auto" w:sz="4" w:space="0"/>
            </w:tcBorders>
            <w:noWrap w:val="0"/>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一档</w:t>
            </w:r>
            <w:r>
              <w:rPr>
                <w:rFonts w:hint="default"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5分</w:t>
            </w:r>
            <w:r>
              <w:rPr>
                <w:rFonts w:hint="default"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：所提供的布展方未能满足活动保障需求，布展方案内容不完整，基本没有针对性；</w:t>
            </w:r>
          </w:p>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二档</w:t>
            </w:r>
            <w:r>
              <w:rPr>
                <w:rFonts w:hint="default"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10分</w:t>
            </w:r>
            <w:r>
              <w:rPr>
                <w:rFonts w:hint="default"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：所提供布展方案基本满足活动保障需求，布展方案内容基本完整、有考虑实际需求；</w:t>
            </w:r>
          </w:p>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三档</w:t>
            </w:r>
            <w:r>
              <w:rPr>
                <w:rFonts w:hint="default"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15分</w:t>
            </w:r>
            <w:r>
              <w:rPr>
                <w:rFonts w:hint="default" w:ascii="Times New Roman" w:hAnsi="Times New Roman" w:eastAsia="仿宋_GB2312" w:cs="Times New Roman"/>
                <w:color w:val="000000"/>
                <w:szCs w:val="21"/>
                <w:lang w:eastAsia="zh-CN"/>
              </w:rPr>
              <w:t>）</w:t>
            </w:r>
            <w:r>
              <w:rPr>
                <w:rFonts w:hint="default" w:ascii="Times New Roman" w:hAnsi="Times New Roman" w:eastAsia="仿宋_GB2312" w:cs="Times New Roman"/>
                <w:color w:val="000000"/>
                <w:szCs w:val="21"/>
              </w:rPr>
              <w:t>：所提供布展方案非常贴合活动保障的需求，并且布撤展方案内容详尽、充分地考虑了实际需求，有很强的针对性。</w:t>
            </w:r>
          </w:p>
        </w:tc>
        <w:tc>
          <w:tcPr>
            <w:tcW w:w="2127" w:type="dxa"/>
            <w:tcBorders>
              <w:left w:val="single" w:color="auto" w:sz="4" w:space="0"/>
              <w:right w:val="single" w:color="auto" w:sz="4" w:space="0"/>
            </w:tcBorders>
            <w:noWrap w:val="0"/>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未提供此项内容得0分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jc w:val="center"/>
              <w:rPr>
                <w:rFonts w:hint="default" w:ascii="Times New Roman" w:hAnsi="Times New Roman" w:eastAsia="仿宋_GB2312" w:cs="Times New Roman"/>
                <w:color w:val="000000"/>
                <w:szCs w:val="21"/>
              </w:rPr>
            </w:pPr>
          </w:p>
        </w:tc>
        <w:tc>
          <w:tcPr>
            <w:tcW w:w="1583" w:type="dxa"/>
            <w:vMerge w:val="continue"/>
            <w:noWrap w:val="0"/>
            <w:vAlign w:val="center"/>
          </w:tcPr>
          <w:p>
            <w:pPr>
              <w:jc w:val="center"/>
              <w:rPr>
                <w:rFonts w:hint="default" w:ascii="Times New Roman" w:hAnsi="Times New Roman" w:eastAsia="仿宋_GB2312" w:cs="Times New Roman"/>
                <w:color w:val="000000"/>
                <w:szCs w:val="21"/>
              </w:rPr>
            </w:pPr>
          </w:p>
        </w:tc>
        <w:tc>
          <w:tcPr>
            <w:tcW w:w="1634" w:type="dxa"/>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服务质量承诺（</w:t>
            </w:r>
            <w:r>
              <w:rPr>
                <w:rFonts w:hint="default" w:ascii="Times New Roman" w:hAnsi="Times New Roman" w:eastAsia="仿宋_GB2312" w:cs="Times New Roman"/>
                <w:color w:val="000000"/>
                <w:lang w:val="en-US" w:eastAsia="zh-CN"/>
              </w:rPr>
              <w:t>21</w:t>
            </w:r>
            <w:r>
              <w:rPr>
                <w:rFonts w:hint="default" w:ascii="Times New Roman" w:hAnsi="Times New Roman" w:eastAsia="仿宋_GB2312" w:cs="Times New Roman"/>
                <w:color w:val="000000"/>
              </w:rPr>
              <w:t>分）</w:t>
            </w:r>
          </w:p>
        </w:tc>
        <w:tc>
          <w:tcPr>
            <w:tcW w:w="900" w:type="dxa"/>
            <w:tcBorders>
              <w:right w:val="single" w:color="auto" w:sz="4" w:space="0"/>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rPr>
              <w:t>主观分</w:t>
            </w:r>
          </w:p>
        </w:tc>
        <w:tc>
          <w:tcPr>
            <w:tcW w:w="2903" w:type="dxa"/>
            <w:tcBorders>
              <w:left w:val="single" w:color="auto" w:sz="4" w:space="0"/>
            </w:tcBorders>
            <w:noWrap w:val="0"/>
            <w:vAlign w:val="center"/>
          </w:tcPr>
          <w:p>
            <w:pP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一档</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7</w:t>
            </w:r>
            <w:r>
              <w:rPr>
                <w:rFonts w:hint="default" w:ascii="Times New Roman" w:hAnsi="Times New Roman" w:eastAsia="仿宋_GB2312" w:cs="Times New Roman"/>
                <w:color w:val="000000"/>
              </w:rPr>
              <w:t>分</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：所提供的质量保证措施不完善，未能满足展览馆保障的需求，内容不完整、逻辑性差、未考虑实际需求；</w:t>
            </w:r>
          </w:p>
          <w:p>
            <w:pPr>
              <w:rPr>
                <w:rFonts w:hint="default" w:ascii="Times New Roman" w:hAnsi="Times New Roman" w:eastAsia="仿宋_GB2312" w:cs="Times New Roman"/>
                <w:color w:val="000000"/>
              </w:rPr>
            </w:pPr>
          </w:p>
          <w:p>
            <w:pP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二档</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1</w:t>
            </w:r>
            <w:r>
              <w:rPr>
                <w:rFonts w:hint="default" w:ascii="Times New Roman" w:hAnsi="Times New Roman" w:eastAsia="仿宋_GB2312" w:cs="Times New Roman"/>
                <w:color w:val="000000"/>
                <w:lang w:val="en-US" w:eastAsia="zh-CN"/>
              </w:rPr>
              <w:t>4</w:t>
            </w:r>
            <w:r>
              <w:rPr>
                <w:rFonts w:hint="default" w:ascii="Times New Roman" w:hAnsi="Times New Roman" w:eastAsia="仿宋_GB2312" w:cs="Times New Roman"/>
                <w:color w:val="000000"/>
              </w:rPr>
              <w:t>分</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：所提供的质量保证措施较完善，基本满足展览馆保障的需求，内容完整、条理清晰、有考虑实际需求；</w:t>
            </w:r>
          </w:p>
          <w:p>
            <w:pPr>
              <w:rPr>
                <w:rFonts w:hint="default" w:ascii="Times New Roman" w:hAnsi="Times New Roman" w:eastAsia="仿宋_GB2312" w:cs="Times New Roman"/>
                <w:color w:val="000000"/>
              </w:rPr>
            </w:pPr>
          </w:p>
          <w:p>
            <w:pP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三档</w:t>
            </w:r>
            <w:r>
              <w:rPr>
                <w:rFonts w:hint="default" w:ascii="Times New Roman" w:hAnsi="Times New Roman" w:eastAsia="仿宋_GB2312" w:cs="Times New Roman"/>
                <w:color w:val="000000"/>
                <w:lang w:val="en-US" w:eastAsia="zh-CN"/>
              </w:rPr>
              <w:t>(21</w:t>
            </w:r>
            <w:r>
              <w:rPr>
                <w:rFonts w:hint="default" w:ascii="Times New Roman" w:hAnsi="Times New Roman" w:eastAsia="仿宋_GB2312" w:cs="Times New Roman"/>
                <w:color w:val="000000"/>
              </w:rPr>
              <w:t>分</w:t>
            </w:r>
            <w:r>
              <w:rPr>
                <w:rFonts w:hint="default" w:ascii="Times New Roman" w:hAnsi="Times New Roman" w:eastAsia="仿宋_GB2312" w:cs="Times New Roman"/>
                <w:color w:val="000000"/>
                <w:lang w:val="en-US" w:eastAsia="zh-CN"/>
              </w:rPr>
              <w:t>)</w:t>
            </w:r>
            <w:r>
              <w:rPr>
                <w:rFonts w:hint="default" w:ascii="Times New Roman" w:hAnsi="Times New Roman" w:eastAsia="仿宋_GB2312" w:cs="Times New Roman"/>
                <w:color w:val="000000"/>
              </w:rPr>
              <w:t>：所提供的质量保证措施完善，贴合展览馆保障的需求，并且内容详尽、条理清晰、有很强的针对性。</w:t>
            </w:r>
          </w:p>
        </w:tc>
        <w:tc>
          <w:tcPr>
            <w:tcW w:w="2127" w:type="dxa"/>
            <w:noWrap w:val="0"/>
            <w:vAlign w:val="center"/>
          </w:tcPr>
          <w:p>
            <w:pPr>
              <w:rPr>
                <w:rFonts w:hint="default" w:ascii="Times New Roman" w:hAnsi="Times New Roman" w:eastAsia="仿宋_GB2312" w:cs="Times New Roman"/>
                <w:color w:val="000000"/>
              </w:rPr>
            </w:pPr>
            <w:r>
              <w:rPr>
                <w:rFonts w:hint="default" w:ascii="Times New Roman" w:hAnsi="Times New Roman" w:eastAsia="仿宋_GB2312" w:cs="Times New Roman"/>
                <w:color w:val="000000"/>
                <w:szCs w:val="21"/>
              </w:rPr>
              <w:t>未提供此项内容得0分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w:t>
            </w:r>
          </w:p>
        </w:tc>
        <w:tc>
          <w:tcPr>
            <w:tcW w:w="32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响应报价</w:t>
            </w:r>
          </w:p>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CN"/>
              </w:rPr>
              <w:t>9</w:t>
            </w:r>
            <w:r>
              <w:rPr>
                <w:rFonts w:hint="default" w:ascii="Times New Roman" w:hAnsi="Times New Roman" w:eastAsia="仿宋_GB2312" w:cs="Times New Roman"/>
                <w:color w:val="000000"/>
                <w:szCs w:val="21"/>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客观分</w:t>
            </w:r>
          </w:p>
        </w:tc>
        <w:tc>
          <w:tcPr>
            <w:tcW w:w="2903" w:type="dxa"/>
            <w:tcBorders>
              <w:top w:val="single" w:color="auto" w:sz="4" w:space="0"/>
              <w:left w:val="single" w:color="auto" w:sz="4" w:space="0"/>
              <w:bottom w:val="single" w:color="auto" w:sz="4" w:space="0"/>
            </w:tcBorders>
            <w:noWrap w:val="0"/>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以满足采购文件要求且响应价格最低的响应报价为评审基准价，其价格分为满分。其他供应商的价格分统一按照下列公式计算：响应报价得分=（评审基准价/响应报价）×响应报价分满分分值。</w:t>
            </w:r>
          </w:p>
        </w:tc>
        <w:tc>
          <w:tcPr>
            <w:tcW w:w="2127" w:type="dxa"/>
            <w:tcBorders>
              <w:top w:val="single" w:color="auto" w:sz="4" w:space="0"/>
              <w:left w:val="single" w:color="auto" w:sz="4" w:space="0"/>
              <w:bottom w:val="single" w:color="auto" w:sz="4" w:space="0"/>
            </w:tcBorders>
            <w:noWrap w:val="0"/>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响应报价计算时均为供应商的实际响应报价进行政策性扣除后的价格，最终成交金额＝响应报价。政策性扣除计算方法见后。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c>
          <w:tcPr>
            <w:tcW w:w="32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综合得分</w:t>
            </w:r>
          </w:p>
        </w:tc>
        <w:tc>
          <w:tcPr>
            <w:tcW w:w="5930" w:type="dxa"/>
            <w:gridSpan w:val="3"/>
            <w:tcBorders>
              <w:top w:val="single" w:color="auto" w:sz="4" w:space="0"/>
              <w:left w:val="single" w:color="auto" w:sz="4" w:space="0"/>
              <w:bottom w:val="single" w:color="auto" w:sz="4" w:space="0"/>
            </w:tcBorders>
            <w:noWrap w:val="0"/>
            <w:vAlign w:val="center"/>
          </w:tcPr>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=1+2+3（各项评分分值计算保留小数点后两位，小数点后第三位“四舍五入”）</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七、中标候选人推荐原则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评标委员会将根据得分由高到低排列次序（得分相同时，按投标报价由低到高顺序排列；得分相同且投标报价相同的，按技术指标优劣顺序排序）并推荐</w:t>
      </w:r>
      <w:r>
        <w:rPr>
          <w:rFonts w:hint="default" w:ascii="Times New Roman" w:hAnsi="Times New Roman" w:eastAsia="仿宋_GB2312" w:cs="Times New Roman"/>
          <w:sz w:val="32"/>
          <w:szCs w:val="32"/>
          <w:lang w:val="en-US" w:eastAsia="zh-CN"/>
        </w:rPr>
        <w:t>成交</w:t>
      </w:r>
      <w:r>
        <w:rPr>
          <w:rFonts w:hint="default" w:ascii="Times New Roman" w:hAnsi="Times New Roman" w:eastAsia="仿宋_GB2312" w:cs="Times New Roman"/>
          <w:sz w:val="32"/>
          <w:szCs w:val="32"/>
          <w:lang w:eastAsia="zh-CN"/>
        </w:rPr>
        <w:t>候选供应商。采购人应该确定评审委员会推荐排名第一的</w:t>
      </w:r>
      <w:r>
        <w:rPr>
          <w:rFonts w:hint="default" w:ascii="Times New Roman" w:hAnsi="Times New Roman" w:eastAsia="仿宋_GB2312" w:cs="Times New Roman"/>
          <w:sz w:val="32"/>
          <w:szCs w:val="32"/>
          <w:lang w:val="en-US" w:eastAsia="zh-CN"/>
        </w:rPr>
        <w:t>成交</w:t>
      </w:r>
      <w:r>
        <w:rPr>
          <w:rFonts w:hint="default" w:ascii="Times New Roman" w:hAnsi="Times New Roman" w:eastAsia="仿宋_GB2312" w:cs="Times New Roman"/>
          <w:sz w:val="32"/>
          <w:szCs w:val="32"/>
          <w:lang w:eastAsia="zh-CN"/>
        </w:rPr>
        <w:t>候选人为</w:t>
      </w:r>
      <w:r>
        <w:rPr>
          <w:rFonts w:hint="default" w:ascii="Times New Roman" w:hAnsi="Times New Roman" w:eastAsia="仿宋_GB2312" w:cs="Times New Roman"/>
          <w:sz w:val="32"/>
          <w:szCs w:val="32"/>
          <w:lang w:val="en-US" w:eastAsia="zh-CN"/>
        </w:rPr>
        <w:t>成交</w:t>
      </w:r>
      <w:r>
        <w:rPr>
          <w:rFonts w:hint="default" w:ascii="Times New Roman" w:hAnsi="Times New Roman" w:eastAsia="仿宋_GB2312" w:cs="Times New Roman"/>
          <w:sz w:val="32"/>
          <w:szCs w:val="32"/>
          <w:lang w:eastAsia="zh-CN"/>
        </w:rPr>
        <w:t>人。采购人将通知</w:t>
      </w:r>
      <w:r>
        <w:rPr>
          <w:rFonts w:hint="default" w:ascii="Times New Roman" w:hAnsi="Times New Roman" w:eastAsia="仿宋_GB2312" w:cs="Times New Roman"/>
          <w:sz w:val="32"/>
          <w:szCs w:val="32"/>
          <w:lang w:val="en-US" w:eastAsia="zh-CN"/>
        </w:rPr>
        <w:t>成交</w:t>
      </w:r>
      <w:r>
        <w:rPr>
          <w:rFonts w:hint="default" w:ascii="Times New Roman" w:hAnsi="Times New Roman" w:eastAsia="仿宋_GB2312" w:cs="Times New Roman"/>
          <w:sz w:val="32"/>
          <w:szCs w:val="32"/>
          <w:lang w:eastAsia="zh-CN"/>
        </w:rPr>
        <w:t>人并与之签订项目服务合同。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八、验收成果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需提供项目验收总结报告、图片、视频（如有）等资料，总结报告需提供电子版本一份，打印纸质版（加盖公章）两份备案。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九、项目预算及付款方式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（一）项目预算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15.75</w:t>
      </w:r>
      <w:r>
        <w:rPr>
          <w:rFonts w:hint="default" w:ascii="Times New Roman" w:hAnsi="Times New Roman" w:eastAsia="仿宋_GB2312"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（二）审核流程：我</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lang w:eastAsia="zh-CN"/>
        </w:rPr>
        <w:t>将根据提交的投标文件进行开会研究，经过全方位的考评审核对比后选出一家公司作为本次项目的承办单位。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（三）付款方式：</w:t>
      </w:r>
      <w:r>
        <w:rPr>
          <w:rFonts w:hint="default" w:ascii="Times New Roman" w:hAnsi="Times New Roman" w:eastAsia="仿宋_GB2312" w:cs="Times New Roman"/>
          <w:sz w:val="32"/>
          <w:szCs w:val="32"/>
          <w:lang w:val="en-US" w:eastAsia="zh-CN"/>
        </w:rPr>
        <w:t>合同签订后5个工作日内支付50%预付款，</w:t>
      </w:r>
      <w:r>
        <w:rPr>
          <w:rFonts w:hint="default" w:ascii="Times New Roman" w:hAnsi="Times New Roman" w:eastAsia="仿宋_GB2312" w:cs="Times New Roman"/>
          <w:sz w:val="32"/>
          <w:szCs w:val="32"/>
          <w:lang w:eastAsia="zh-CN"/>
        </w:rPr>
        <w:t>待项目</w:t>
      </w:r>
      <w:r>
        <w:rPr>
          <w:rFonts w:hint="default" w:ascii="Times New Roman" w:hAnsi="Times New Roman" w:eastAsia="仿宋_GB2312" w:cs="Times New Roman"/>
          <w:sz w:val="32"/>
          <w:szCs w:val="32"/>
          <w:lang w:val="en-US" w:eastAsia="zh-CN"/>
        </w:rPr>
        <w:t>结束</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lang w:val="en-US" w:eastAsia="zh-CN"/>
        </w:rPr>
        <w:t>成交</w:t>
      </w:r>
      <w:r>
        <w:rPr>
          <w:rFonts w:hint="default" w:ascii="Times New Roman" w:hAnsi="Times New Roman" w:eastAsia="仿宋_GB2312" w:cs="Times New Roman"/>
          <w:sz w:val="32"/>
          <w:szCs w:val="32"/>
          <w:lang w:eastAsia="zh-CN"/>
        </w:rPr>
        <w:t>人提供项目结案报告并经采购人验收合格通过后开具</w:t>
      </w:r>
      <w:r>
        <w:rPr>
          <w:rFonts w:hint="default" w:ascii="Times New Roman" w:hAnsi="Times New Roman" w:eastAsia="仿宋_GB2312" w:cs="Times New Roman"/>
          <w:sz w:val="32"/>
          <w:szCs w:val="32"/>
          <w:lang w:val="en-US" w:eastAsia="zh-CN"/>
        </w:rPr>
        <w:t>合法的增值税</w:t>
      </w:r>
      <w:r>
        <w:rPr>
          <w:rFonts w:hint="default" w:ascii="Times New Roman" w:hAnsi="Times New Roman" w:eastAsia="仿宋_GB2312" w:cs="Times New Roman"/>
          <w:sz w:val="32"/>
          <w:szCs w:val="32"/>
          <w:lang w:eastAsia="zh-CN"/>
        </w:rPr>
        <w:t>发票，采购人</w:t>
      </w:r>
      <w:r>
        <w:rPr>
          <w:rFonts w:hint="default" w:ascii="Times New Roman" w:hAnsi="Times New Roman" w:eastAsia="仿宋_GB2312" w:cs="Times New Roman"/>
          <w:sz w:val="32"/>
          <w:szCs w:val="32"/>
          <w:lang w:val="en-US" w:eastAsia="zh-CN"/>
        </w:rPr>
        <w:t>根据验收结论支付尾款</w:t>
      </w:r>
      <w:r>
        <w:rPr>
          <w:rFonts w:hint="default" w:ascii="Times New Roman" w:hAnsi="Times New Roman" w:eastAsia="仿宋_GB2312" w:cs="Times New Roman"/>
          <w:sz w:val="32"/>
          <w:szCs w:val="32"/>
          <w:lang w:eastAsia="zh-CN"/>
        </w:rPr>
        <w:t>，具体付款方式以合同约定为准。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十、提交竞争文件时间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截止时间为</w:t>
      </w: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3</w:t>
      </w:r>
      <w:bookmarkStart w:id="0" w:name="_GoBack"/>
      <w:bookmarkEnd w:id="0"/>
      <w:r>
        <w:rPr>
          <w:rFonts w:hint="default" w:ascii="Times New Roman" w:hAnsi="Times New Roman" w:eastAsia="仿宋_GB2312" w:cs="Times New Roman"/>
          <w:sz w:val="32"/>
          <w:szCs w:val="32"/>
          <w:highlight w:val="none"/>
          <w:lang w:eastAsia="zh-CN"/>
        </w:rPr>
        <w:t>日17：00（</w:t>
      </w:r>
      <w:r>
        <w:rPr>
          <w:rFonts w:hint="default" w:ascii="Times New Roman" w:hAnsi="Times New Roman" w:eastAsia="仿宋_GB2312" w:cs="Times New Roman"/>
          <w:sz w:val="32"/>
          <w:szCs w:val="32"/>
          <w:highlight w:val="none"/>
          <w:lang w:val="en-US" w:eastAsia="zh-CN"/>
        </w:rPr>
        <w:t>投标文件送</w:t>
      </w:r>
      <w:r>
        <w:rPr>
          <w:rFonts w:hint="default" w:ascii="Times New Roman" w:hAnsi="Times New Roman" w:eastAsia="仿宋_GB2312" w:cs="Times New Roman"/>
          <w:sz w:val="32"/>
          <w:szCs w:val="32"/>
          <w:lang w:val="en-US" w:eastAsia="zh-CN"/>
        </w:rPr>
        <w:t>达</w:t>
      </w:r>
      <w:r>
        <w:rPr>
          <w:rFonts w:hint="default" w:ascii="Times New Roman" w:hAnsi="Times New Roman" w:eastAsia="仿宋_GB2312" w:cs="Times New Roman"/>
          <w:sz w:val="32"/>
          <w:szCs w:val="32"/>
          <w:lang w:eastAsia="zh-CN"/>
        </w:rPr>
        <w:t>地址：广西南宁市良庆区平乐大道10号中国-东盟经济中心3号楼</w:t>
      </w:r>
      <w:r>
        <w:rPr>
          <w:rFonts w:hint="default" w:ascii="Times New Roman" w:hAnsi="Times New Roman" w:eastAsia="仿宋_GB2312" w:cs="Times New Roman"/>
          <w:sz w:val="32"/>
          <w:szCs w:val="32"/>
          <w:lang w:val="en-US" w:eastAsia="zh-CN"/>
        </w:rPr>
        <w:t>808</w:t>
      </w:r>
      <w:r>
        <w:rPr>
          <w:rFonts w:hint="default" w:ascii="Times New Roman" w:hAnsi="Times New Roman" w:eastAsia="仿宋_GB2312" w:cs="Times New Roman"/>
          <w:sz w:val="32"/>
          <w:szCs w:val="32"/>
          <w:lang w:eastAsia="zh-CN"/>
        </w:rPr>
        <w:t>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联系人：</w:t>
      </w:r>
      <w:r>
        <w:rPr>
          <w:rFonts w:hint="default" w:ascii="Times New Roman" w:hAnsi="Times New Roman" w:eastAsia="仿宋_GB2312" w:cs="Times New Roman"/>
          <w:sz w:val="32"/>
          <w:szCs w:val="32"/>
          <w:lang w:val="en-US" w:eastAsia="zh-CN"/>
        </w:rPr>
        <w:t>李春颖</w:t>
      </w:r>
      <w:r>
        <w:rPr>
          <w:rFonts w:hint="default" w:ascii="Times New Roman" w:hAnsi="Times New Roman" w:eastAsia="仿宋_GB2312" w:cs="Times New Roman"/>
          <w:sz w:val="32"/>
          <w:szCs w:val="32"/>
          <w:lang w:eastAsia="zh-CN"/>
        </w:rPr>
        <w:t>，电话：0771-221</w:t>
      </w:r>
      <w:r>
        <w:rPr>
          <w:rFonts w:hint="default" w:ascii="Times New Roman" w:hAnsi="Times New Roman" w:eastAsia="仿宋_GB2312" w:cs="Times New Roman"/>
          <w:sz w:val="32"/>
          <w:szCs w:val="32"/>
          <w:lang w:val="en-US" w:eastAsia="zh-CN"/>
        </w:rPr>
        <w:t>1708</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广西自由贸易试验区外商投资促进中心</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2024年5月</w:t>
      </w:r>
      <w:r>
        <w:rPr>
          <w:rFonts w:hint="eastAsia" w:ascii="Times New Roman" w:hAnsi="Times New Roman" w:cs="Times New Roman"/>
          <w:sz w:val="32"/>
          <w:szCs w:val="32"/>
          <w:lang w:val="en-US" w:eastAsia="zh-CN"/>
        </w:rPr>
        <w:t>29</w:t>
      </w:r>
      <w:r>
        <w:rPr>
          <w:rFonts w:hint="default" w:ascii="Times New Roman" w:hAnsi="Times New Roman" w:eastAsia="仿宋_GB2312" w:cs="Times New Roman"/>
          <w:sz w:val="32"/>
          <w:szCs w:val="32"/>
          <w:lang w:val="en-US" w:eastAsia="zh-CN"/>
        </w:rPr>
        <w:t xml:space="preserve">日   </w:t>
      </w:r>
    </w:p>
    <w:p>
      <w:pPr>
        <w:rPr>
          <w:rFonts w:hint="eastAsia" w:ascii="仿宋_GB2312" w:hAnsi="仿宋_GB2312" w:eastAsia="仿宋_GB2312" w:cs="仿宋_GB2312"/>
          <w:sz w:val="32"/>
          <w:szCs w:val="32"/>
          <w:lang w:val="en-US" w:eastAsia="zh-CN"/>
        </w:rPr>
      </w:pPr>
    </w:p>
    <w:sectPr>
      <w:footerReference r:id="rId3" w:type="default"/>
      <w:pgSz w:w="11906" w:h="16838"/>
      <w:pgMar w:top="2098"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GRiMDdlZTFjZjZiMDNhZjYxMGFiOGE5M2Y2OTMifQ=="/>
  </w:docVars>
  <w:rsids>
    <w:rsidRoot w:val="6EBE24C5"/>
    <w:rsid w:val="11B450A9"/>
    <w:rsid w:val="348845DA"/>
    <w:rsid w:val="41AC76BD"/>
    <w:rsid w:val="491F5084"/>
    <w:rsid w:val="6EBE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2345</Words>
  <Characters>2414</Characters>
  <Lines>0</Lines>
  <Paragraphs>0</Paragraphs>
  <TotalTime>24</TotalTime>
  <ScaleCrop>false</ScaleCrop>
  <LinksUpToDate>false</LinksUpToDate>
  <CharactersWithSpaces>2439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2024-05-28T03:06:00Z</dcterms:created>
  <dc:creator>lcy</dc:creator>
  <cp:lastModifiedBy>lcy</cp:lastModifiedBy>
  <dcterms:modified xsi:type="dcterms:W3CDTF">2024-05-29T07:13:31Z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5CFB30F1973E43BB949FB54B6C314E5F_11</vt:lpwstr>
  </property>
</Properties>
</file>