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6693"/>
        </w:tabs>
        <w:spacing w:line="600" w:lineRule="exact"/>
        <w:ind w:left="93"/>
        <w:jc w:val="left"/>
        <w:rPr>
          <w:rFonts w:hint="default" w:ascii="Times New Roman" w:hAnsi="Times New Roman" w:eastAsia="黑体" w:cs="Times New Roman"/>
          <w:color w:val="000000"/>
          <w:kern w:val="0"/>
          <w:sz w:val="32"/>
          <w:szCs w:val="32"/>
        </w:rPr>
      </w:pPr>
      <w:bookmarkStart w:id="0" w:name="_GoBack"/>
      <w:bookmarkEnd w:id="0"/>
      <w:r>
        <w:rPr>
          <w:rFonts w:hint="default" w:ascii="Times New Roman" w:hAnsi="Times New Roman" w:eastAsia="黑体" w:cs="Times New Roman"/>
          <w:color w:val="000000"/>
          <w:kern w:val="0"/>
          <w:sz w:val="32"/>
          <w:szCs w:val="32"/>
        </w:rPr>
        <w:t>附件</w:t>
      </w:r>
    </w:p>
    <w:p>
      <w:pPr>
        <w:widowControl/>
        <w:spacing w:before="312" w:beforeLines="100" w:after="156" w:afterLines="50"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《市场准入负面清单（2019年版）》广西商务领域实施分工方案</w:t>
      </w:r>
    </w:p>
    <w:tbl>
      <w:tblPr>
        <w:tblStyle w:val="5"/>
        <w:tblW w:w="0" w:type="auto"/>
        <w:tblInd w:w="93" w:type="dxa"/>
        <w:tblLayout w:type="fixed"/>
        <w:tblCellMar>
          <w:top w:w="0" w:type="dxa"/>
          <w:left w:w="108" w:type="dxa"/>
          <w:bottom w:w="0" w:type="dxa"/>
          <w:right w:w="108" w:type="dxa"/>
        </w:tblCellMar>
      </w:tblPr>
      <w:tblGrid>
        <w:gridCol w:w="789"/>
        <w:gridCol w:w="2650"/>
        <w:gridCol w:w="1350"/>
        <w:gridCol w:w="10326"/>
        <w:gridCol w:w="2678"/>
        <w:gridCol w:w="1512"/>
        <w:gridCol w:w="1225"/>
      </w:tblGrid>
      <w:tr>
        <w:tblPrEx>
          <w:tblCellMar>
            <w:top w:w="0" w:type="dxa"/>
            <w:left w:w="108" w:type="dxa"/>
            <w:bottom w:w="0" w:type="dxa"/>
            <w:right w:w="108" w:type="dxa"/>
          </w:tblCellMar>
        </w:tblPrEx>
        <w:trPr>
          <w:trHeight w:val="1188" w:hRule="atLeast"/>
          <w:tblHeader/>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黑体" w:cs="Times New Roman"/>
                <w:b w:val="0"/>
                <w:bCs w:val="0"/>
                <w:color w:val="000000"/>
                <w:kern w:val="0"/>
                <w:sz w:val="24"/>
              </w:rPr>
            </w:pPr>
            <w:r>
              <w:rPr>
                <w:rFonts w:hint="default" w:ascii="Times New Roman" w:hAnsi="Times New Roman" w:eastAsia="黑体" w:cs="Times New Roman"/>
                <w:b w:val="0"/>
                <w:bCs w:val="0"/>
                <w:color w:val="000000"/>
                <w:kern w:val="0"/>
                <w:sz w:val="24"/>
              </w:rPr>
              <w:t>国家</w:t>
            </w:r>
          </w:p>
          <w:p>
            <w:pPr>
              <w:widowControl/>
              <w:spacing w:line="340" w:lineRule="exact"/>
              <w:jc w:val="center"/>
              <w:rPr>
                <w:rFonts w:hint="default" w:ascii="Times New Roman" w:hAnsi="Times New Roman" w:eastAsia="黑体" w:cs="Times New Roman"/>
                <w:b w:val="0"/>
                <w:bCs w:val="0"/>
                <w:color w:val="000000"/>
                <w:kern w:val="0"/>
                <w:sz w:val="24"/>
              </w:rPr>
            </w:pPr>
            <w:r>
              <w:rPr>
                <w:rFonts w:hint="default" w:ascii="Times New Roman" w:hAnsi="Times New Roman" w:eastAsia="黑体" w:cs="Times New Roman"/>
                <w:b w:val="0"/>
                <w:bCs w:val="0"/>
                <w:color w:val="000000"/>
                <w:kern w:val="0"/>
                <w:sz w:val="24"/>
              </w:rPr>
              <w:t>目录</w:t>
            </w:r>
          </w:p>
          <w:p>
            <w:pPr>
              <w:widowControl/>
              <w:spacing w:line="340" w:lineRule="exact"/>
              <w:jc w:val="center"/>
              <w:rPr>
                <w:rFonts w:hint="default" w:ascii="Times New Roman" w:hAnsi="Times New Roman" w:eastAsia="黑体" w:cs="Times New Roman"/>
                <w:b w:val="0"/>
                <w:bCs w:val="0"/>
                <w:color w:val="000000"/>
                <w:kern w:val="0"/>
                <w:sz w:val="22"/>
                <w:szCs w:val="22"/>
              </w:rPr>
            </w:pPr>
            <w:r>
              <w:rPr>
                <w:rFonts w:hint="default" w:ascii="Times New Roman" w:hAnsi="Times New Roman" w:eastAsia="黑体" w:cs="Times New Roman"/>
                <w:b w:val="0"/>
                <w:bCs w:val="0"/>
                <w:color w:val="000000"/>
                <w:kern w:val="0"/>
                <w:sz w:val="24"/>
              </w:rPr>
              <w:t>序号</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黑体" w:cs="Times New Roman"/>
                <w:b w:val="0"/>
                <w:bCs w:val="0"/>
                <w:color w:val="000000"/>
                <w:kern w:val="0"/>
                <w:sz w:val="22"/>
                <w:szCs w:val="22"/>
              </w:rPr>
            </w:pPr>
            <w:r>
              <w:rPr>
                <w:rFonts w:hint="default" w:ascii="Times New Roman" w:hAnsi="Times New Roman" w:eastAsia="黑体" w:cs="Times New Roman"/>
                <w:b w:val="0"/>
                <w:bCs w:val="0"/>
                <w:color w:val="000000"/>
                <w:kern w:val="0"/>
                <w:sz w:val="24"/>
              </w:rPr>
              <w:t>禁止或许可事项</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黑体" w:cs="Times New Roman"/>
                <w:b w:val="0"/>
                <w:bCs w:val="0"/>
                <w:color w:val="000000"/>
                <w:kern w:val="0"/>
                <w:sz w:val="22"/>
                <w:szCs w:val="22"/>
              </w:rPr>
            </w:pPr>
            <w:r>
              <w:rPr>
                <w:rFonts w:hint="default" w:ascii="Times New Roman" w:hAnsi="Times New Roman" w:eastAsia="黑体" w:cs="Times New Roman"/>
                <w:b w:val="0"/>
                <w:bCs w:val="0"/>
                <w:color w:val="000000"/>
                <w:kern w:val="0"/>
                <w:sz w:val="24"/>
              </w:rPr>
              <w:t>事项编码</w:t>
            </w:r>
          </w:p>
        </w:tc>
        <w:tc>
          <w:tcPr>
            <w:tcW w:w="103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黑体" w:cs="Times New Roman"/>
                <w:b w:val="0"/>
                <w:bCs w:val="0"/>
                <w:color w:val="000000"/>
                <w:kern w:val="0"/>
                <w:sz w:val="22"/>
                <w:szCs w:val="22"/>
              </w:rPr>
            </w:pPr>
            <w:r>
              <w:rPr>
                <w:rFonts w:hint="default" w:ascii="Times New Roman" w:hAnsi="Times New Roman" w:eastAsia="黑体" w:cs="Times New Roman"/>
                <w:b w:val="0"/>
                <w:bCs w:val="0"/>
                <w:color w:val="000000"/>
                <w:kern w:val="0"/>
                <w:sz w:val="24"/>
              </w:rPr>
              <w:t>禁止或许可准入措施描述</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黑体" w:cs="Times New Roman"/>
                <w:b w:val="0"/>
                <w:bCs w:val="0"/>
                <w:color w:val="000000"/>
                <w:kern w:val="0"/>
                <w:sz w:val="22"/>
                <w:szCs w:val="22"/>
              </w:rPr>
            </w:pPr>
            <w:r>
              <w:rPr>
                <w:rFonts w:hint="default" w:ascii="Times New Roman" w:hAnsi="Times New Roman" w:eastAsia="黑体" w:cs="Times New Roman"/>
                <w:b w:val="0"/>
                <w:bCs w:val="0"/>
                <w:color w:val="000000"/>
                <w:kern w:val="0"/>
                <w:sz w:val="24"/>
              </w:rPr>
              <w:t>自治区负责部门</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黑体" w:cs="Times New Roman"/>
                <w:b w:val="0"/>
                <w:bCs w:val="0"/>
                <w:color w:val="000000"/>
                <w:kern w:val="0"/>
                <w:sz w:val="24"/>
              </w:rPr>
            </w:pPr>
            <w:r>
              <w:rPr>
                <w:rFonts w:hint="default" w:ascii="Times New Roman" w:hAnsi="Times New Roman" w:eastAsia="黑体" w:cs="Times New Roman"/>
                <w:b w:val="0"/>
                <w:bCs w:val="0"/>
                <w:color w:val="000000"/>
                <w:kern w:val="0"/>
                <w:sz w:val="24"/>
              </w:rPr>
              <w:t>商务厅</w:t>
            </w:r>
          </w:p>
          <w:p>
            <w:pPr>
              <w:widowControl/>
              <w:spacing w:line="340" w:lineRule="exact"/>
              <w:jc w:val="center"/>
              <w:rPr>
                <w:rFonts w:hint="default" w:ascii="Times New Roman" w:hAnsi="Times New Roman" w:eastAsia="黑体" w:cs="Times New Roman"/>
                <w:b w:val="0"/>
                <w:bCs w:val="0"/>
                <w:color w:val="000000"/>
                <w:kern w:val="0"/>
                <w:sz w:val="22"/>
                <w:szCs w:val="22"/>
              </w:rPr>
            </w:pPr>
            <w:r>
              <w:rPr>
                <w:rFonts w:hint="default" w:ascii="Times New Roman" w:hAnsi="Times New Roman" w:eastAsia="黑体" w:cs="Times New Roman"/>
                <w:b w:val="0"/>
                <w:bCs w:val="0"/>
                <w:color w:val="000000"/>
                <w:kern w:val="0"/>
                <w:sz w:val="24"/>
              </w:rPr>
              <w:t>责任处室</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黑体" w:cs="Times New Roman"/>
                <w:b w:val="0"/>
                <w:bCs w:val="0"/>
                <w:color w:val="000000"/>
                <w:kern w:val="0"/>
                <w:sz w:val="24"/>
              </w:rPr>
            </w:pPr>
            <w:r>
              <w:rPr>
                <w:rFonts w:hint="default" w:ascii="Times New Roman" w:hAnsi="Times New Roman" w:eastAsia="黑体" w:cs="Times New Roman"/>
                <w:b w:val="0"/>
                <w:bCs w:val="0"/>
                <w:color w:val="000000"/>
                <w:kern w:val="0"/>
                <w:sz w:val="24"/>
              </w:rPr>
              <w:t>设区市</w:t>
            </w:r>
          </w:p>
          <w:p>
            <w:pPr>
              <w:widowControl/>
              <w:spacing w:line="340" w:lineRule="exact"/>
              <w:jc w:val="center"/>
              <w:rPr>
                <w:rFonts w:hint="default" w:ascii="Times New Roman" w:hAnsi="Times New Roman" w:eastAsia="黑体" w:cs="Times New Roman"/>
                <w:b w:val="0"/>
                <w:bCs w:val="0"/>
                <w:color w:val="000000"/>
                <w:kern w:val="0"/>
                <w:sz w:val="22"/>
                <w:szCs w:val="22"/>
              </w:rPr>
            </w:pPr>
            <w:r>
              <w:rPr>
                <w:rFonts w:hint="default" w:ascii="Times New Roman" w:hAnsi="Times New Roman" w:eastAsia="黑体" w:cs="Times New Roman"/>
                <w:b w:val="0"/>
                <w:bCs w:val="0"/>
                <w:color w:val="000000"/>
                <w:kern w:val="0"/>
                <w:sz w:val="24"/>
              </w:rPr>
              <w:t>责任部门</w:t>
            </w:r>
          </w:p>
        </w:tc>
      </w:tr>
      <w:tr>
        <w:tblPrEx>
          <w:tblCellMar>
            <w:top w:w="0" w:type="dxa"/>
            <w:left w:w="108" w:type="dxa"/>
            <w:bottom w:w="0" w:type="dxa"/>
            <w:right w:w="108" w:type="dxa"/>
          </w:tblCellMar>
        </w:tblPrEx>
        <w:trPr>
          <w:trHeight w:val="631" w:hRule="atLeast"/>
        </w:trPr>
        <w:tc>
          <w:tcPr>
            <w:tcW w:w="20530"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许可准入类</w:t>
            </w:r>
          </w:p>
        </w:tc>
      </w:tr>
      <w:tr>
        <w:tblPrEx>
          <w:tblCellMar>
            <w:top w:w="0" w:type="dxa"/>
            <w:left w:w="108" w:type="dxa"/>
            <w:bottom w:w="0" w:type="dxa"/>
            <w:right w:w="108" w:type="dxa"/>
          </w:tblCellMar>
        </w:tblPrEx>
        <w:trPr>
          <w:trHeight w:val="975" w:hRule="atLeast"/>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38</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未获得资质条件，不得从事报废汽车回收拆解</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203022</w:t>
            </w:r>
          </w:p>
        </w:tc>
        <w:tc>
          <w:tcPr>
            <w:tcW w:w="103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报废机动车回收企业资质认定</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自治区商务厅</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建设处</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w:t>
            </w:r>
          </w:p>
        </w:tc>
      </w:tr>
      <w:tr>
        <w:tblPrEx>
          <w:tblCellMar>
            <w:top w:w="0" w:type="dxa"/>
            <w:left w:w="108" w:type="dxa"/>
            <w:bottom w:w="0" w:type="dxa"/>
            <w:right w:w="108" w:type="dxa"/>
          </w:tblCellMar>
        </w:tblPrEx>
        <w:trPr>
          <w:trHeight w:val="567" w:hRule="atLeast"/>
        </w:trPr>
        <w:tc>
          <w:tcPr>
            <w:tcW w:w="789" w:type="dxa"/>
            <w:vMerge w:val="restart"/>
            <w:tcBorders>
              <w:top w:val="single" w:color="000000" w:sz="4" w:space="0"/>
              <w:left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42</w:t>
            </w:r>
          </w:p>
        </w:tc>
        <w:tc>
          <w:tcPr>
            <w:tcW w:w="2650" w:type="dxa"/>
            <w:vMerge w:val="restart"/>
            <w:tcBorders>
              <w:top w:val="single" w:color="000000" w:sz="4" w:space="0"/>
              <w:left w:val="single" w:color="000000" w:sz="4" w:space="0"/>
              <w:right w:val="single" w:color="000000" w:sz="4" w:space="0"/>
            </w:tcBorders>
            <w:noWrap w:val="0"/>
            <w:vAlign w:val="center"/>
          </w:tcPr>
          <w:p>
            <w:pPr>
              <w:widowControl/>
              <w:spacing w:line="34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未获得许可、配额或资质，不得从事农产品、原油等特定商品、技术、服务的经营、流通贸易和进出口（含过境）</w:t>
            </w:r>
          </w:p>
          <w:p>
            <w:pPr>
              <w:widowControl/>
              <w:spacing w:line="340" w:lineRule="exact"/>
              <w:jc w:val="left"/>
              <w:rPr>
                <w:rFonts w:ascii="Times New Roman" w:hAnsi="Times New Roman" w:eastAsia="仿宋_GB2312" w:cs="Times New Roman"/>
                <w:color w:val="000000"/>
                <w:kern w:val="0"/>
                <w:sz w:val="28"/>
                <w:szCs w:val="28"/>
              </w:rPr>
            </w:pPr>
          </w:p>
        </w:tc>
        <w:tc>
          <w:tcPr>
            <w:tcW w:w="1350" w:type="dxa"/>
            <w:vMerge w:val="restart"/>
            <w:tcBorders>
              <w:top w:val="single" w:color="000000" w:sz="4" w:space="0"/>
              <w:left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206001</w:t>
            </w:r>
          </w:p>
        </w:tc>
        <w:tc>
          <w:tcPr>
            <w:tcW w:w="103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对部分进出口货物实行配额管理（目前适用商品详见本年度进口许可证管理货物目录和出口许可证管理货物目录）</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自治区商务厅</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外贸处</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w:t>
            </w:r>
          </w:p>
        </w:tc>
      </w:tr>
      <w:tr>
        <w:tblPrEx>
          <w:tblCellMar>
            <w:top w:w="0" w:type="dxa"/>
            <w:left w:w="108" w:type="dxa"/>
            <w:bottom w:w="0" w:type="dxa"/>
            <w:right w:w="108" w:type="dxa"/>
          </w:tblCellMar>
        </w:tblPrEx>
        <w:trPr>
          <w:trHeight w:val="590" w:hRule="atLeast"/>
        </w:trPr>
        <w:tc>
          <w:tcPr>
            <w:tcW w:w="789" w:type="dxa"/>
            <w:vMerge w:val="continue"/>
            <w:tcBorders>
              <w:left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p>
        </w:tc>
        <w:tc>
          <w:tcPr>
            <w:tcW w:w="2650" w:type="dxa"/>
            <w:vMerge w:val="continue"/>
            <w:tcBorders>
              <w:left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p>
        </w:tc>
        <w:tc>
          <w:tcPr>
            <w:tcW w:w="1350" w:type="dxa"/>
            <w:vMerge w:val="continue"/>
            <w:tcBorders>
              <w:left w:val="single" w:color="000000" w:sz="4" w:space="0"/>
              <w:right w:val="single" w:color="000000" w:sz="4" w:space="0"/>
            </w:tcBorders>
            <w:noWrap w:val="0"/>
            <w:vAlign w:val="center"/>
          </w:tcPr>
          <w:p>
            <w:pPr>
              <w:widowControl/>
              <w:spacing w:line="340" w:lineRule="exact"/>
              <w:jc w:val="left"/>
              <w:rPr>
                <w:rFonts w:hint="default" w:ascii="Times New Roman" w:hAnsi="Times New Roman" w:eastAsia="仿宋_GB2312" w:cs="Times New Roman"/>
                <w:color w:val="000000"/>
                <w:kern w:val="0"/>
                <w:sz w:val="28"/>
                <w:szCs w:val="28"/>
              </w:rPr>
            </w:pPr>
          </w:p>
        </w:tc>
        <w:tc>
          <w:tcPr>
            <w:tcW w:w="103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对部分进出口货物实行许可证管理（目前适用商品详见本年度进口许可证管理货物目录和出口许可证管理货物目录）</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自治区商务厅</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审批办</w:t>
            </w:r>
          </w:p>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外贸处</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w:t>
            </w:r>
          </w:p>
        </w:tc>
      </w:tr>
      <w:tr>
        <w:tblPrEx>
          <w:tblCellMar>
            <w:top w:w="0" w:type="dxa"/>
            <w:left w:w="108" w:type="dxa"/>
            <w:bottom w:w="0" w:type="dxa"/>
            <w:right w:w="108" w:type="dxa"/>
          </w:tblCellMar>
        </w:tblPrEx>
        <w:trPr>
          <w:trHeight w:val="815" w:hRule="atLeast"/>
        </w:trPr>
        <w:tc>
          <w:tcPr>
            <w:tcW w:w="789" w:type="dxa"/>
            <w:vMerge w:val="continue"/>
            <w:tcBorders>
              <w:left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p>
        </w:tc>
        <w:tc>
          <w:tcPr>
            <w:tcW w:w="2650" w:type="dxa"/>
            <w:vMerge w:val="continue"/>
            <w:tcBorders>
              <w:left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p>
        </w:tc>
        <w:tc>
          <w:tcPr>
            <w:tcW w:w="1350" w:type="dxa"/>
            <w:vMerge w:val="continue"/>
            <w:tcBorders>
              <w:left w:val="single" w:color="000000" w:sz="4" w:space="0"/>
              <w:right w:val="single" w:color="000000" w:sz="4" w:space="0"/>
            </w:tcBorders>
            <w:noWrap w:val="0"/>
            <w:vAlign w:val="center"/>
          </w:tcPr>
          <w:p>
            <w:pPr>
              <w:widowControl/>
              <w:spacing w:line="340" w:lineRule="exact"/>
              <w:jc w:val="left"/>
              <w:rPr>
                <w:rFonts w:hint="default" w:ascii="Times New Roman" w:hAnsi="Times New Roman" w:eastAsia="仿宋_GB2312" w:cs="Times New Roman"/>
                <w:color w:val="000000"/>
                <w:kern w:val="0"/>
                <w:sz w:val="28"/>
                <w:szCs w:val="28"/>
              </w:rPr>
            </w:pPr>
          </w:p>
        </w:tc>
        <w:tc>
          <w:tcPr>
            <w:tcW w:w="103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对部分货物实行进出口国营贸易经营资格管理(目前适用商品包括出口玉米、大米、棉花、烟草、原油、成品油、煤炭、钨、锑、白银和进口小麦、玉米、大米、棉花、食糖、烟草、原油、成品油、化肥等)</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自治区商务厅</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审批办</w:t>
            </w:r>
          </w:p>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外贸处</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w:t>
            </w:r>
          </w:p>
        </w:tc>
      </w:tr>
      <w:tr>
        <w:tblPrEx>
          <w:tblCellMar>
            <w:top w:w="0" w:type="dxa"/>
            <w:left w:w="108" w:type="dxa"/>
            <w:bottom w:w="0" w:type="dxa"/>
            <w:right w:w="108" w:type="dxa"/>
          </w:tblCellMar>
        </w:tblPrEx>
        <w:trPr>
          <w:trHeight w:val="601" w:hRule="atLeast"/>
        </w:trPr>
        <w:tc>
          <w:tcPr>
            <w:tcW w:w="789" w:type="dxa"/>
            <w:vMerge w:val="continue"/>
            <w:tcBorders>
              <w:left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p>
        </w:tc>
        <w:tc>
          <w:tcPr>
            <w:tcW w:w="2650" w:type="dxa"/>
            <w:vMerge w:val="continue"/>
            <w:tcBorders>
              <w:left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p>
        </w:tc>
        <w:tc>
          <w:tcPr>
            <w:tcW w:w="1350" w:type="dxa"/>
            <w:vMerge w:val="continue"/>
            <w:tcBorders>
              <w:left w:val="single" w:color="000000" w:sz="4" w:space="0"/>
              <w:right w:val="single" w:color="000000" w:sz="4" w:space="0"/>
            </w:tcBorders>
            <w:noWrap w:val="0"/>
            <w:vAlign w:val="center"/>
          </w:tcPr>
          <w:p>
            <w:pPr>
              <w:widowControl/>
              <w:spacing w:line="340" w:lineRule="exact"/>
              <w:jc w:val="left"/>
              <w:rPr>
                <w:rFonts w:hint="default" w:ascii="Times New Roman" w:hAnsi="Times New Roman" w:eastAsia="仿宋_GB2312" w:cs="Times New Roman"/>
                <w:color w:val="000000"/>
                <w:kern w:val="0"/>
                <w:sz w:val="28"/>
                <w:szCs w:val="28"/>
              </w:rPr>
            </w:pPr>
          </w:p>
        </w:tc>
        <w:tc>
          <w:tcPr>
            <w:tcW w:w="103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对部分重点敏感商品加工贸易实行管理（目前适用商品包括铜精矿、卫星接收设施、生皮等）</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自治区商务厅</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加贸处</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w:t>
            </w:r>
          </w:p>
        </w:tc>
      </w:tr>
      <w:tr>
        <w:tblPrEx>
          <w:tblCellMar>
            <w:top w:w="0" w:type="dxa"/>
            <w:left w:w="108" w:type="dxa"/>
            <w:bottom w:w="0" w:type="dxa"/>
            <w:right w:w="108" w:type="dxa"/>
          </w:tblCellMar>
        </w:tblPrEx>
        <w:trPr>
          <w:trHeight w:val="564" w:hRule="atLeast"/>
        </w:trPr>
        <w:tc>
          <w:tcPr>
            <w:tcW w:w="789" w:type="dxa"/>
            <w:vMerge w:val="continue"/>
            <w:tcBorders>
              <w:left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p>
        </w:tc>
        <w:tc>
          <w:tcPr>
            <w:tcW w:w="2650" w:type="dxa"/>
            <w:vMerge w:val="continue"/>
            <w:tcBorders>
              <w:left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p>
        </w:tc>
        <w:tc>
          <w:tcPr>
            <w:tcW w:w="1350" w:type="dxa"/>
            <w:vMerge w:val="continue"/>
            <w:tcBorders>
              <w:left w:val="single" w:color="000000" w:sz="4" w:space="0"/>
              <w:right w:val="single" w:color="000000" w:sz="4" w:space="0"/>
            </w:tcBorders>
            <w:noWrap w:val="0"/>
            <w:vAlign w:val="center"/>
          </w:tcPr>
          <w:p>
            <w:pPr>
              <w:widowControl/>
              <w:spacing w:line="340" w:lineRule="exact"/>
              <w:jc w:val="left"/>
              <w:rPr>
                <w:rFonts w:hint="default" w:ascii="Times New Roman" w:hAnsi="Times New Roman" w:eastAsia="仿宋_GB2312" w:cs="Times New Roman"/>
                <w:color w:val="000000"/>
                <w:kern w:val="0"/>
                <w:sz w:val="28"/>
                <w:szCs w:val="28"/>
              </w:rPr>
            </w:pPr>
          </w:p>
        </w:tc>
        <w:tc>
          <w:tcPr>
            <w:tcW w:w="103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对输港澳活畜禽实行经营资格管理（目前适用商品详见本年度出口许可证管理货物目录）</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自治区商务厅</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外贸处</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w:t>
            </w:r>
          </w:p>
        </w:tc>
      </w:tr>
      <w:tr>
        <w:tblPrEx>
          <w:tblCellMar>
            <w:top w:w="0" w:type="dxa"/>
            <w:left w:w="108" w:type="dxa"/>
            <w:bottom w:w="0" w:type="dxa"/>
            <w:right w:w="108" w:type="dxa"/>
          </w:tblCellMar>
        </w:tblPrEx>
        <w:trPr>
          <w:trHeight w:val="454" w:hRule="atLeast"/>
        </w:trPr>
        <w:tc>
          <w:tcPr>
            <w:tcW w:w="789" w:type="dxa"/>
            <w:vMerge w:val="continue"/>
            <w:tcBorders>
              <w:left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p>
        </w:tc>
        <w:tc>
          <w:tcPr>
            <w:tcW w:w="2650" w:type="dxa"/>
            <w:vMerge w:val="continue"/>
            <w:tcBorders>
              <w:left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p>
        </w:tc>
        <w:tc>
          <w:tcPr>
            <w:tcW w:w="1350" w:type="dxa"/>
            <w:vMerge w:val="continue"/>
            <w:tcBorders>
              <w:left w:val="single" w:color="000000" w:sz="4" w:space="0"/>
              <w:right w:val="single" w:color="000000" w:sz="4" w:space="0"/>
            </w:tcBorders>
            <w:noWrap w:val="0"/>
            <w:vAlign w:val="center"/>
          </w:tcPr>
          <w:p>
            <w:pPr>
              <w:widowControl/>
              <w:spacing w:line="340" w:lineRule="exact"/>
              <w:jc w:val="left"/>
              <w:rPr>
                <w:rFonts w:hint="default" w:ascii="Times New Roman" w:hAnsi="Times New Roman" w:eastAsia="仿宋_GB2312" w:cs="Times New Roman"/>
                <w:color w:val="000000"/>
                <w:kern w:val="0"/>
                <w:sz w:val="28"/>
                <w:szCs w:val="28"/>
              </w:rPr>
            </w:pPr>
          </w:p>
        </w:tc>
        <w:tc>
          <w:tcPr>
            <w:tcW w:w="103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对部分货物（小麦、玉米、大米、棉花、食糖、羊毛、毛条、化肥）实行进口关税配额管理</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both"/>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自治区发展改革委、</w:t>
            </w:r>
          </w:p>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自治区商务厅</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外贸处</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w:t>
            </w:r>
          </w:p>
        </w:tc>
      </w:tr>
      <w:tr>
        <w:tblPrEx>
          <w:tblCellMar>
            <w:top w:w="0" w:type="dxa"/>
            <w:left w:w="108" w:type="dxa"/>
            <w:bottom w:w="0" w:type="dxa"/>
            <w:right w:w="108" w:type="dxa"/>
          </w:tblCellMar>
        </w:tblPrEx>
        <w:trPr>
          <w:trHeight w:val="601" w:hRule="atLeast"/>
        </w:trPr>
        <w:tc>
          <w:tcPr>
            <w:tcW w:w="789" w:type="dxa"/>
            <w:vMerge w:val="continue"/>
            <w:tcBorders>
              <w:left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p>
        </w:tc>
        <w:tc>
          <w:tcPr>
            <w:tcW w:w="2650" w:type="dxa"/>
            <w:vMerge w:val="continue"/>
            <w:tcBorders>
              <w:left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p>
        </w:tc>
        <w:tc>
          <w:tcPr>
            <w:tcW w:w="1350" w:type="dxa"/>
            <w:vMerge w:val="continue"/>
            <w:tcBorders>
              <w:left w:val="single" w:color="000000" w:sz="4" w:space="0"/>
              <w:right w:val="single" w:color="000000" w:sz="4" w:space="0"/>
            </w:tcBorders>
            <w:noWrap w:val="0"/>
            <w:vAlign w:val="center"/>
          </w:tcPr>
          <w:p>
            <w:pPr>
              <w:widowControl/>
              <w:spacing w:line="340" w:lineRule="exact"/>
              <w:jc w:val="left"/>
              <w:rPr>
                <w:rFonts w:hint="default" w:ascii="Times New Roman" w:hAnsi="Times New Roman" w:eastAsia="仿宋_GB2312" w:cs="Times New Roman"/>
                <w:color w:val="000000"/>
                <w:kern w:val="0"/>
                <w:sz w:val="28"/>
                <w:szCs w:val="28"/>
              </w:rPr>
            </w:pPr>
          </w:p>
        </w:tc>
        <w:tc>
          <w:tcPr>
            <w:tcW w:w="103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技术进出口许可证管理</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自治区商务厅</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加贸处</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w:t>
            </w:r>
          </w:p>
        </w:tc>
      </w:tr>
      <w:tr>
        <w:tblPrEx>
          <w:tblCellMar>
            <w:top w:w="0" w:type="dxa"/>
            <w:left w:w="108" w:type="dxa"/>
            <w:bottom w:w="0" w:type="dxa"/>
            <w:right w:w="108" w:type="dxa"/>
          </w:tblCellMar>
        </w:tblPrEx>
        <w:trPr>
          <w:trHeight w:val="454" w:hRule="atLeast"/>
        </w:trPr>
        <w:tc>
          <w:tcPr>
            <w:tcW w:w="789" w:type="dxa"/>
            <w:vMerge w:val="continue"/>
            <w:tcBorders>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p>
        </w:tc>
        <w:tc>
          <w:tcPr>
            <w:tcW w:w="2650" w:type="dxa"/>
            <w:vMerge w:val="continue"/>
            <w:tcBorders>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p>
        </w:tc>
        <w:tc>
          <w:tcPr>
            <w:tcW w:w="1350" w:type="dxa"/>
            <w:vMerge w:val="continue"/>
            <w:tcBorders>
              <w:left w:val="single" w:color="000000" w:sz="4" w:space="0"/>
              <w:bottom w:val="single" w:color="000000" w:sz="4" w:space="0"/>
              <w:right w:val="single" w:color="000000" w:sz="4" w:space="0"/>
            </w:tcBorders>
            <w:noWrap w:val="0"/>
            <w:vAlign w:val="center"/>
          </w:tcPr>
          <w:p>
            <w:pPr>
              <w:widowControl/>
              <w:spacing w:line="340" w:lineRule="exact"/>
              <w:jc w:val="left"/>
              <w:rPr>
                <w:rFonts w:hint="default" w:ascii="Times New Roman" w:hAnsi="Times New Roman" w:eastAsia="仿宋_GB2312" w:cs="Times New Roman"/>
                <w:color w:val="000000"/>
                <w:kern w:val="0"/>
                <w:sz w:val="28"/>
                <w:szCs w:val="28"/>
              </w:rPr>
            </w:pPr>
          </w:p>
        </w:tc>
        <w:tc>
          <w:tcPr>
            <w:tcW w:w="103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成品油零售经营资格审批</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自治区商务厅</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运行处</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设区市商务局</w:t>
            </w:r>
          </w:p>
        </w:tc>
      </w:tr>
      <w:tr>
        <w:tblPrEx>
          <w:tblCellMar>
            <w:top w:w="0" w:type="dxa"/>
            <w:left w:w="108" w:type="dxa"/>
            <w:bottom w:w="0" w:type="dxa"/>
            <w:right w:w="108" w:type="dxa"/>
          </w:tblCellMar>
        </w:tblPrEx>
        <w:trPr>
          <w:trHeight w:val="454" w:hRule="atLeast"/>
        </w:trPr>
        <w:tc>
          <w:tcPr>
            <w:tcW w:w="7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46</w:t>
            </w:r>
          </w:p>
        </w:tc>
        <w:tc>
          <w:tcPr>
            <w:tcW w:w="26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未获得许可或资质条件，不得从事拍卖、直销业务</w:t>
            </w:r>
          </w:p>
        </w:tc>
        <w:tc>
          <w:tcPr>
            <w:tcW w:w="1350" w:type="dxa"/>
            <w:vMerge w:val="restart"/>
            <w:tcBorders>
              <w:top w:val="single" w:color="000000" w:sz="4" w:space="0"/>
              <w:left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206005</w:t>
            </w:r>
          </w:p>
        </w:tc>
        <w:tc>
          <w:tcPr>
            <w:tcW w:w="103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从事拍卖业务的许可</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自治区商务厅</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流通处</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设区市商务局</w:t>
            </w:r>
          </w:p>
        </w:tc>
      </w:tr>
      <w:tr>
        <w:tblPrEx>
          <w:tblCellMar>
            <w:top w:w="0" w:type="dxa"/>
            <w:left w:w="108" w:type="dxa"/>
            <w:bottom w:w="0" w:type="dxa"/>
            <w:right w:w="108" w:type="dxa"/>
          </w:tblCellMar>
        </w:tblPrEx>
        <w:trPr>
          <w:trHeight w:val="454" w:hRule="atLeast"/>
        </w:trPr>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p>
        </w:tc>
        <w:tc>
          <w:tcPr>
            <w:tcW w:w="265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p>
        </w:tc>
        <w:tc>
          <w:tcPr>
            <w:tcW w:w="1350" w:type="dxa"/>
            <w:vMerge w:val="continue"/>
            <w:tcBorders>
              <w:left w:val="single" w:color="000000" w:sz="4" w:space="0"/>
              <w:bottom w:val="single" w:color="000000" w:sz="4" w:space="0"/>
              <w:right w:val="single" w:color="000000" w:sz="4" w:space="0"/>
            </w:tcBorders>
            <w:noWrap w:val="0"/>
            <w:vAlign w:val="center"/>
          </w:tcPr>
          <w:p>
            <w:pPr>
              <w:widowControl/>
              <w:spacing w:line="340" w:lineRule="exact"/>
              <w:jc w:val="left"/>
              <w:rPr>
                <w:rFonts w:hint="default" w:ascii="Times New Roman" w:hAnsi="Times New Roman" w:eastAsia="仿宋_GB2312" w:cs="Times New Roman"/>
                <w:color w:val="000000"/>
                <w:kern w:val="0"/>
                <w:sz w:val="28"/>
                <w:szCs w:val="28"/>
              </w:rPr>
            </w:pPr>
          </w:p>
        </w:tc>
        <w:tc>
          <w:tcPr>
            <w:tcW w:w="103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直销企业及其分支机构直销经营资格的许可</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ind w:firstLine="0" w:firstLineChars="0"/>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自治区商务厅、</w:t>
            </w:r>
          </w:p>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自治区市场监管局</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秩序处</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设区市商务局</w:t>
            </w:r>
          </w:p>
        </w:tc>
      </w:tr>
      <w:tr>
        <w:tblPrEx>
          <w:tblCellMar>
            <w:top w:w="0" w:type="dxa"/>
            <w:left w:w="108" w:type="dxa"/>
            <w:bottom w:w="0" w:type="dxa"/>
            <w:right w:w="108" w:type="dxa"/>
          </w:tblCellMar>
        </w:tblPrEx>
        <w:trPr>
          <w:trHeight w:val="397" w:hRule="atLeast"/>
        </w:trPr>
        <w:tc>
          <w:tcPr>
            <w:tcW w:w="7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74</w:t>
            </w:r>
          </w:p>
        </w:tc>
        <w:tc>
          <w:tcPr>
            <w:tcW w:w="26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未获得许可，不得从事职业中介、出入境、劳务派遣等中介服务</w:t>
            </w:r>
          </w:p>
        </w:tc>
        <w:tc>
          <w:tcPr>
            <w:tcW w:w="1350" w:type="dxa"/>
            <w:vMerge w:val="restart"/>
            <w:tcBorders>
              <w:top w:val="single" w:color="000000" w:sz="4" w:space="0"/>
              <w:left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212002</w:t>
            </w:r>
          </w:p>
        </w:tc>
        <w:tc>
          <w:tcPr>
            <w:tcW w:w="103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内地输澳门劳务合作审批；内地输香港劳务合作审批</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ind w:firstLine="0" w:firstLineChars="0"/>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自治区商务厅、</w:t>
            </w:r>
          </w:p>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自治区外事办</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合作处</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w:t>
            </w:r>
          </w:p>
        </w:tc>
      </w:tr>
      <w:tr>
        <w:tblPrEx>
          <w:tblCellMar>
            <w:top w:w="0" w:type="dxa"/>
            <w:left w:w="108" w:type="dxa"/>
            <w:bottom w:w="0" w:type="dxa"/>
            <w:right w:w="108" w:type="dxa"/>
          </w:tblCellMar>
        </w:tblPrEx>
        <w:trPr>
          <w:trHeight w:val="397" w:hRule="atLeast"/>
        </w:trPr>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p>
        </w:tc>
        <w:tc>
          <w:tcPr>
            <w:tcW w:w="265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p>
        </w:tc>
        <w:tc>
          <w:tcPr>
            <w:tcW w:w="1350" w:type="dxa"/>
            <w:vMerge w:val="continue"/>
            <w:tcBorders>
              <w:left w:val="single" w:color="000000" w:sz="4" w:space="0"/>
              <w:bottom w:val="single" w:color="000000" w:sz="4" w:space="0"/>
              <w:right w:val="single" w:color="000000" w:sz="4" w:space="0"/>
            </w:tcBorders>
            <w:noWrap w:val="0"/>
            <w:vAlign w:val="center"/>
          </w:tcPr>
          <w:p>
            <w:pPr>
              <w:widowControl/>
              <w:spacing w:line="340" w:lineRule="exact"/>
              <w:jc w:val="left"/>
              <w:rPr>
                <w:rFonts w:hint="default" w:ascii="Times New Roman" w:hAnsi="Times New Roman" w:eastAsia="仿宋_GB2312" w:cs="Times New Roman"/>
                <w:color w:val="000000"/>
                <w:kern w:val="0"/>
                <w:sz w:val="28"/>
                <w:szCs w:val="28"/>
              </w:rPr>
            </w:pPr>
          </w:p>
        </w:tc>
        <w:tc>
          <w:tcPr>
            <w:tcW w:w="103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对外劳务合作经营资格审批</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自治区商务厅</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合作处</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设区市商务局</w:t>
            </w:r>
          </w:p>
        </w:tc>
      </w:tr>
      <w:tr>
        <w:tblPrEx>
          <w:tblCellMar>
            <w:top w:w="0" w:type="dxa"/>
            <w:left w:w="108" w:type="dxa"/>
            <w:bottom w:w="0" w:type="dxa"/>
            <w:right w:w="108" w:type="dxa"/>
          </w:tblCellMar>
        </w:tblPrEx>
        <w:trPr>
          <w:trHeight w:val="283" w:hRule="atLeast"/>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79</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未获得许可，不得在境内举办涉外经济技术展览会</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212007</w:t>
            </w:r>
          </w:p>
        </w:tc>
        <w:tc>
          <w:tcPr>
            <w:tcW w:w="103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境内举办涉外经济技术展览会行政审批（包括首次举办冠名“中国”等字样的涉外经济技术展览会；外国机构参与主办的涉外经济技术展览会）</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自治区商务厅</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流通处</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w:t>
            </w:r>
          </w:p>
        </w:tc>
      </w:tr>
      <w:tr>
        <w:tblPrEx>
          <w:tblCellMar>
            <w:top w:w="0" w:type="dxa"/>
            <w:left w:w="108" w:type="dxa"/>
            <w:bottom w:w="0" w:type="dxa"/>
            <w:right w:w="108" w:type="dxa"/>
          </w:tblCellMar>
        </w:tblPrEx>
        <w:trPr>
          <w:trHeight w:val="454" w:hRule="atLeast"/>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106</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未获得许可，不得从事广播电视相关设施的生产、经营、安装、使用和进口，不得使用广播电视专用频段</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218004</w:t>
            </w:r>
          </w:p>
        </w:tc>
        <w:tc>
          <w:tcPr>
            <w:tcW w:w="103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卫星电视广播地面接收设施的生产、进口、销售、安装和使用许可；卫星电视广播地面接收设施进口证明核发</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自治区广电局、工业和信息化厅（生产、进口准入属国家层面审批权，销售、安装和使用准入属自治区层面审批权）</w:t>
            </w:r>
          </w:p>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自治区商务厅</w:t>
            </w:r>
          </w:p>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自治区市场监管局</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加贸处</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w:t>
            </w:r>
          </w:p>
        </w:tc>
      </w:tr>
      <w:tr>
        <w:tblPrEx>
          <w:tblCellMar>
            <w:top w:w="0" w:type="dxa"/>
            <w:left w:w="108" w:type="dxa"/>
            <w:bottom w:w="0" w:type="dxa"/>
            <w:right w:w="108" w:type="dxa"/>
          </w:tblCellMar>
        </w:tblPrEx>
        <w:trPr>
          <w:trHeight w:val="454" w:hRule="atLeast"/>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121</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未经许可或取得相关资质，不得从事网约车经营</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222001</w:t>
            </w:r>
          </w:p>
        </w:tc>
        <w:tc>
          <w:tcPr>
            <w:tcW w:w="103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申请从事网约车经营的，应当具备线上线下服务能力，根据经营区域向相应的出租汽车行政主管部门提出申请，取得《网络预约出租汽车经营许可证》。申请从事网约车经营的车辆，应当符合有关条件，取得相应出租汽车行政主管部门发放的《网络预约出租汽车运输证》。从事网约车服务的驾驶员，应当符合有关条件，取得相应出租汽车行政主管部门发放的《网络预约出租汽车驾驶员证》</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自治区交通运输厅</w:t>
            </w:r>
          </w:p>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自治区通信管理局</w:t>
            </w:r>
          </w:p>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自治区公安厅</w:t>
            </w:r>
          </w:p>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自治区商务厅</w:t>
            </w:r>
          </w:p>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自治区网信办</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电商处</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设区市商务局</w:t>
            </w:r>
          </w:p>
        </w:tc>
      </w:tr>
      <w:tr>
        <w:tblPrEx>
          <w:tblCellMar>
            <w:top w:w="0" w:type="dxa"/>
            <w:left w:w="108" w:type="dxa"/>
            <w:bottom w:w="0" w:type="dxa"/>
            <w:right w:w="108" w:type="dxa"/>
          </w:tblCellMar>
        </w:tblPrEx>
        <w:trPr>
          <w:trHeight w:val="454" w:hRule="atLeast"/>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128</w:t>
            </w:r>
          </w:p>
        </w:tc>
        <w:tc>
          <w:tcPr>
            <w:tcW w:w="2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未获得资质条件，不得实施援外项目</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299001</w:t>
            </w:r>
          </w:p>
        </w:tc>
        <w:tc>
          <w:tcPr>
            <w:tcW w:w="103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援外项目实施企业资格认定</w:t>
            </w:r>
          </w:p>
        </w:tc>
        <w:tc>
          <w:tcPr>
            <w:tcW w:w="26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自治区商务厅</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合作处</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w:t>
            </w:r>
          </w:p>
        </w:tc>
      </w:tr>
      <w:tr>
        <w:tblPrEx>
          <w:tblCellMar>
            <w:top w:w="0" w:type="dxa"/>
            <w:left w:w="108" w:type="dxa"/>
            <w:bottom w:w="0" w:type="dxa"/>
            <w:right w:w="108" w:type="dxa"/>
          </w:tblCellMar>
        </w:tblPrEx>
        <w:trPr>
          <w:trHeight w:val="454" w:hRule="atLeast"/>
        </w:trPr>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131</w:t>
            </w:r>
          </w:p>
        </w:tc>
        <w:tc>
          <w:tcPr>
            <w:tcW w:w="1432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法律、法规、国务院决定、省级人民政府规章（可设定临时措施）规定的其他需许可后投资经营的行业、领域、业务等</w:t>
            </w:r>
          </w:p>
        </w:tc>
        <w:tc>
          <w:tcPr>
            <w:tcW w:w="541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hint="default" w:ascii="Times New Roman" w:hAnsi="Times New Roman" w:eastAsia="仿宋_GB2312" w:cs="Times New Roman"/>
                <w:color w:val="000000"/>
                <w:kern w:val="0"/>
                <w:sz w:val="28"/>
                <w:szCs w:val="28"/>
              </w:rPr>
            </w:pPr>
          </w:p>
        </w:tc>
      </w:tr>
    </w:tbl>
    <w:p>
      <w:pPr>
        <w:rPr>
          <w:rFonts w:ascii="Times New Roman" w:hAnsi="Times New Roman" w:cs="Times New Roman"/>
          <w:sz w:val="24"/>
          <w:vertAlign w:val="baseline"/>
        </w:rPr>
      </w:pPr>
    </w:p>
    <w:sectPr>
      <w:footerReference r:id="rId3" w:type="default"/>
      <w:pgSz w:w="23814" w:h="16839" w:orient="landscape"/>
      <w:pgMar w:top="1418" w:right="1418" w:bottom="1418" w:left="1418" w:header="851" w:footer="992" w:gutter="0"/>
      <w:pgNumType w:fmt="decimal"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6</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531E"/>
    <w:rsid w:val="00125302"/>
    <w:rsid w:val="0048006E"/>
    <w:rsid w:val="006961B1"/>
    <w:rsid w:val="00734D7A"/>
    <w:rsid w:val="00760F36"/>
    <w:rsid w:val="00882922"/>
    <w:rsid w:val="00AA3857"/>
    <w:rsid w:val="00C06152"/>
    <w:rsid w:val="00C10C9C"/>
    <w:rsid w:val="00EE41D0"/>
    <w:rsid w:val="01226714"/>
    <w:rsid w:val="033A478D"/>
    <w:rsid w:val="03FB169D"/>
    <w:rsid w:val="05CC13BB"/>
    <w:rsid w:val="06945C5D"/>
    <w:rsid w:val="0755286E"/>
    <w:rsid w:val="0AB60ED7"/>
    <w:rsid w:val="0BCB6C8E"/>
    <w:rsid w:val="0D6A4C1B"/>
    <w:rsid w:val="0EEE20C7"/>
    <w:rsid w:val="0F777A16"/>
    <w:rsid w:val="0F996DCC"/>
    <w:rsid w:val="10C74EC1"/>
    <w:rsid w:val="144873DF"/>
    <w:rsid w:val="146A4ED5"/>
    <w:rsid w:val="169E31B7"/>
    <w:rsid w:val="17333918"/>
    <w:rsid w:val="17A16194"/>
    <w:rsid w:val="1A0C775A"/>
    <w:rsid w:val="1B095864"/>
    <w:rsid w:val="1B67284D"/>
    <w:rsid w:val="1BA208BC"/>
    <w:rsid w:val="1D585C00"/>
    <w:rsid w:val="1E6D5AEF"/>
    <w:rsid w:val="1F566D5F"/>
    <w:rsid w:val="2030322E"/>
    <w:rsid w:val="20E40B8F"/>
    <w:rsid w:val="21CA2C8C"/>
    <w:rsid w:val="233C363B"/>
    <w:rsid w:val="268164AA"/>
    <w:rsid w:val="28995564"/>
    <w:rsid w:val="29E820D4"/>
    <w:rsid w:val="2E17420E"/>
    <w:rsid w:val="2F0F30D1"/>
    <w:rsid w:val="2F3804A6"/>
    <w:rsid w:val="30F75521"/>
    <w:rsid w:val="324F3464"/>
    <w:rsid w:val="32A63BA7"/>
    <w:rsid w:val="33A63E2E"/>
    <w:rsid w:val="353F1E34"/>
    <w:rsid w:val="35593C4A"/>
    <w:rsid w:val="37BB5A10"/>
    <w:rsid w:val="37BF164C"/>
    <w:rsid w:val="39167A0A"/>
    <w:rsid w:val="3D211750"/>
    <w:rsid w:val="3E1D4CA5"/>
    <w:rsid w:val="3E9B71C0"/>
    <w:rsid w:val="40AC344C"/>
    <w:rsid w:val="40F564FF"/>
    <w:rsid w:val="410C05EB"/>
    <w:rsid w:val="430A4112"/>
    <w:rsid w:val="431A0F4F"/>
    <w:rsid w:val="43A461E6"/>
    <w:rsid w:val="43C81B01"/>
    <w:rsid w:val="440A4C14"/>
    <w:rsid w:val="46812F9C"/>
    <w:rsid w:val="474C34F5"/>
    <w:rsid w:val="4947034C"/>
    <w:rsid w:val="4EF06E15"/>
    <w:rsid w:val="4F2E785B"/>
    <w:rsid w:val="52CA4781"/>
    <w:rsid w:val="52E153AB"/>
    <w:rsid w:val="55050DED"/>
    <w:rsid w:val="55B96B8E"/>
    <w:rsid w:val="56BB2C29"/>
    <w:rsid w:val="595A42B9"/>
    <w:rsid w:val="5C3B722D"/>
    <w:rsid w:val="5C994F20"/>
    <w:rsid w:val="5D8723A0"/>
    <w:rsid w:val="5DE05CD7"/>
    <w:rsid w:val="5F995E03"/>
    <w:rsid w:val="60053390"/>
    <w:rsid w:val="609E7789"/>
    <w:rsid w:val="60A155F4"/>
    <w:rsid w:val="61E66029"/>
    <w:rsid w:val="61FC362E"/>
    <w:rsid w:val="666E35B0"/>
    <w:rsid w:val="669B613D"/>
    <w:rsid w:val="66CB12EA"/>
    <w:rsid w:val="69DC0F42"/>
    <w:rsid w:val="6AF01DF7"/>
    <w:rsid w:val="6BA11ACD"/>
    <w:rsid w:val="6D9F3B16"/>
    <w:rsid w:val="6F795130"/>
    <w:rsid w:val="6FA80D63"/>
    <w:rsid w:val="702369B3"/>
    <w:rsid w:val="746E3150"/>
    <w:rsid w:val="75D1557B"/>
    <w:rsid w:val="79AE3FE5"/>
    <w:rsid w:val="7C5A54EA"/>
    <w:rsid w:val="7F644E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uiPriority w:val="0"/>
    <w:rPr>
      <w:rFonts w:ascii="Times New Roman" w:hAnsi="Times New Roman" w:eastAsia="宋体" w:cs="Times New Roman"/>
    </w:rPr>
  </w:style>
  <w:style w:type="table" w:default="1" w:styleId="5">
    <w:name w:val="Normal Table"/>
    <w:uiPriority w:val="0"/>
    <w:rPr>
      <w:rFonts w:ascii="Times New Roman" w:hAnsi="Times New Roman" w:eastAsia="宋体" w:cs="Times New Roman"/>
    </w:rPr>
    <w:tblPr>
      <w:tblStyle w:val="5"/>
      <w:tblCellMar>
        <w:top w:w="0" w:type="dxa"/>
        <w:left w:w="108" w:type="dxa"/>
        <w:bottom w:w="0" w:type="dxa"/>
        <w:right w:w="108" w:type="dxa"/>
      </w:tblCellMar>
    </w:tblPr>
  </w:style>
  <w:style w:type="paragraph" w:styleId="2">
    <w:name w:val="Balloon Text"/>
    <w:basedOn w:val="1"/>
    <w:link w:val="66"/>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et4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top"/>
    </w:pPr>
    <w:rPr>
      <w:rFonts w:ascii="仿宋_GB2312" w:hAnsi="宋体" w:eastAsia="仿宋_GB2312" w:cs="宋体"/>
      <w:kern w:val="0"/>
      <w:sz w:val="22"/>
      <w:szCs w:val="22"/>
    </w:rPr>
  </w:style>
  <w:style w:type="paragraph" w:customStyle="1" w:styleId="8">
    <w:name w:val="et39"/>
    <w:basedOn w:val="1"/>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kern w:val="0"/>
      <w:sz w:val="22"/>
      <w:szCs w:val="22"/>
    </w:rPr>
  </w:style>
  <w:style w:type="paragraph" w:customStyle="1" w:styleId="9">
    <w:name w:val="et5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kern w:val="0"/>
      <w:sz w:val="22"/>
      <w:szCs w:val="22"/>
    </w:rPr>
  </w:style>
  <w:style w:type="paragraph" w:customStyle="1" w:styleId="10">
    <w:name w:val="et12"/>
    <w:basedOn w:val="1"/>
    <w:uiPriority w:val="0"/>
    <w:pPr>
      <w:widowControl/>
      <w:spacing w:before="100" w:beforeAutospacing="1" w:after="100" w:afterAutospacing="1"/>
      <w:jc w:val="left"/>
      <w:textAlignment w:val="top"/>
    </w:pPr>
    <w:rPr>
      <w:rFonts w:ascii="Times New Roman" w:hAnsi="Times New Roman" w:eastAsia="宋体" w:cs="Times New Roman"/>
      <w:kern w:val="0"/>
      <w:sz w:val="32"/>
      <w:szCs w:val="32"/>
    </w:rPr>
  </w:style>
  <w:style w:type="paragraph" w:customStyle="1" w:styleId="11">
    <w:name w:val="et8"/>
    <w:basedOn w:val="1"/>
    <w:uiPriority w:val="0"/>
    <w:pPr>
      <w:widowControl/>
      <w:spacing w:before="100" w:beforeAutospacing="1" w:after="100" w:afterAutospacing="1"/>
      <w:jc w:val="left"/>
    </w:pPr>
    <w:rPr>
      <w:rFonts w:ascii="Times New Roman" w:hAnsi="Times New Roman" w:eastAsia="宋体" w:cs="Times New Roman"/>
      <w:kern w:val="0"/>
      <w:sz w:val="32"/>
      <w:szCs w:val="32"/>
    </w:rPr>
  </w:style>
  <w:style w:type="paragraph" w:customStyle="1" w:styleId="12">
    <w:name w:val="font4"/>
    <w:basedOn w:val="1"/>
    <w:uiPriority w:val="0"/>
    <w:pPr>
      <w:widowControl/>
      <w:spacing w:before="100" w:beforeAutospacing="1" w:after="100" w:afterAutospacing="1"/>
      <w:jc w:val="left"/>
    </w:pPr>
    <w:rPr>
      <w:rFonts w:ascii="仿宋_GB2312" w:hAnsi="宋体" w:eastAsia="仿宋_GB2312" w:cs="宋体"/>
      <w:color w:val="000000"/>
      <w:kern w:val="0"/>
      <w:sz w:val="32"/>
      <w:szCs w:val="32"/>
    </w:rPr>
  </w:style>
  <w:style w:type="paragraph" w:customStyle="1" w:styleId="13">
    <w:name w:val="et19"/>
    <w:basedOn w:val="1"/>
    <w:uiPriority w:val="0"/>
    <w:pPr>
      <w:widowControl/>
      <w:pBdr>
        <w:bottom w:val="single" w:color="000000" w:sz="4" w:space="0"/>
      </w:pBdr>
      <w:spacing w:before="100" w:beforeAutospacing="1" w:after="100" w:afterAutospacing="1"/>
      <w:jc w:val="center"/>
    </w:pPr>
    <w:rPr>
      <w:rFonts w:ascii="方正小标宋简体" w:hAnsi="宋体" w:eastAsia="方正小标宋简体" w:cs="宋体"/>
      <w:kern w:val="0"/>
      <w:sz w:val="44"/>
      <w:szCs w:val="44"/>
    </w:rPr>
  </w:style>
  <w:style w:type="paragraph" w:customStyle="1" w:styleId="14">
    <w:name w:val="et2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kern w:val="0"/>
      <w:sz w:val="22"/>
      <w:szCs w:val="22"/>
    </w:rPr>
  </w:style>
  <w:style w:type="paragraph" w:customStyle="1" w:styleId="15">
    <w:name w:val="et4"/>
    <w:basedOn w:val="1"/>
    <w:uiPriority w:val="0"/>
    <w:pPr>
      <w:widowControl/>
      <w:spacing w:before="100" w:beforeAutospacing="1" w:after="100" w:afterAutospacing="1"/>
      <w:jc w:val="left"/>
    </w:pPr>
    <w:rPr>
      <w:rFonts w:ascii="宋体" w:hAnsi="宋体" w:eastAsia="宋体" w:cs="宋体"/>
      <w:kern w:val="0"/>
      <w:sz w:val="32"/>
      <w:szCs w:val="32"/>
    </w:rPr>
  </w:style>
  <w:style w:type="paragraph" w:customStyle="1" w:styleId="16">
    <w:name w:val="font8"/>
    <w:basedOn w:val="1"/>
    <w:uiPriority w:val="0"/>
    <w:pPr>
      <w:widowControl/>
      <w:spacing w:before="100" w:beforeAutospacing="1" w:after="100" w:afterAutospacing="1"/>
      <w:jc w:val="left"/>
    </w:pPr>
    <w:rPr>
      <w:rFonts w:ascii="楷体_GB2312" w:hAnsi="宋体" w:eastAsia="楷体_GB2312" w:cs="宋体"/>
      <w:b/>
      <w:bCs/>
      <w:color w:val="000000"/>
      <w:kern w:val="0"/>
      <w:sz w:val="32"/>
      <w:szCs w:val="32"/>
    </w:rPr>
  </w:style>
  <w:style w:type="paragraph" w:customStyle="1" w:styleId="17">
    <w:name w:val="et3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kern w:val="0"/>
      <w:sz w:val="22"/>
      <w:szCs w:val="22"/>
    </w:rPr>
  </w:style>
  <w:style w:type="paragraph" w:customStyle="1" w:styleId="18">
    <w:name w:val="et4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kern w:val="0"/>
      <w:sz w:val="22"/>
      <w:szCs w:val="22"/>
    </w:rPr>
  </w:style>
  <w:style w:type="paragraph" w:customStyle="1" w:styleId="19">
    <w:name w:val="font2"/>
    <w:basedOn w:val="1"/>
    <w:uiPriority w:val="0"/>
    <w:pPr>
      <w:widowControl/>
      <w:spacing w:before="100" w:beforeAutospacing="1" w:after="100" w:afterAutospacing="1"/>
      <w:jc w:val="left"/>
    </w:pPr>
    <w:rPr>
      <w:rFonts w:ascii="宋体" w:hAnsi="宋体" w:eastAsia="宋体" w:cs="宋体"/>
      <w:color w:val="000000"/>
      <w:kern w:val="0"/>
      <w:sz w:val="32"/>
      <w:szCs w:val="32"/>
    </w:rPr>
  </w:style>
  <w:style w:type="paragraph" w:customStyle="1" w:styleId="20">
    <w:name w:val="et2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b/>
      <w:bCs/>
      <w:kern w:val="0"/>
      <w:sz w:val="22"/>
      <w:szCs w:val="22"/>
    </w:rPr>
  </w:style>
  <w:style w:type="paragraph" w:customStyle="1" w:styleId="21">
    <w:name w:val="et25"/>
    <w:basedOn w:val="1"/>
    <w:uiPriority w:val="0"/>
    <w:pPr>
      <w:widowControl/>
      <w:pBdr>
        <w:top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b/>
      <w:bCs/>
      <w:kern w:val="0"/>
      <w:sz w:val="22"/>
      <w:szCs w:val="22"/>
    </w:rPr>
  </w:style>
  <w:style w:type="paragraph" w:customStyle="1" w:styleId="22">
    <w:name w:val="et6"/>
    <w:basedOn w:val="1"/>
    <w:uiPriority w:val="0"/>
    <w:pPr>
      <w:widowControl/>
      <w:spacing w:before="100" w:beforeAutospacing="1" w:after="100" w:afterAutospacing="1"/>
      <w:jc w:val="left"/>
    </w:pPr>
    <w:rPr>
      <w:rFonts w:ascii="宋体" w:hAnsi="宋体" w:eastAsia="宋体" w:cs="宋体"/>
      <w:kern w:val="0"/>
      <w:sz w:val="32"/>
      <w:szCs w:val="32"/>
    </w:rPr>
  </w:style>
  <w:style w:type="paragraph" w:customStyle="1" w:styleId="23">
    <w:name w:val="et16"/>
    <w:basedOn w:val="1"/>
    <w:uiPriority w:val="0"/>
    <w:pPr>
      <w:widowControl/>
      <w:spacing w:before="100" w:beforeAutospacing="1" w:after="100" w:afterAutospacing="1"/>
      <w:jc w:val="left"/>
      <w:textAlignment w:val="top"/>
    </w:pPr>
    <w:rPr>
      <w:rFonts w:ascii="宋体" w:hAnsi="宋体" w:eastAsia="宋体" w:cs="宋体"/>
      <w:kern w:val="0"/>
      <w:sz w:val="32"/>
      <w:szCs w:val="32"/>
    </w:rPr>
  </w:style>
  <w:style w:type="paragraph" w:customStyle="1" w:styleId="24">
    <w:name w:val="et38"/>
    <w:basedOn w:val="1"/>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仿宋_GB2312" w:hAnsi="宋体" w:eastAsia="仿宋_GB2312" w:cs="宋体"/>
      <w:kern w:val="0"/>
      <w:sz w:val="22"/>
      <w:szCs w:val="22"/>
    </w:rPr>
  </w:style>
  <w:style w:type="paragraph" w:customStyle="1" w:styleId="25">
    <w:name w:val="et41"/>
    <w:basedOn w:val="1"/>
    <w:uiPriority w:val="0"/>
    <w:pPr>
      <w:widowControl/>
      <w:pBdr>
        <w:left w:val="single" w:color="000000" w:sz="4" w:space="0"/>
        <w:right w:val="single" w:color="000000" w:sz="4" w:space="0"/>
      </w:pBdr>
      <w:spacing w:before="100" w:beforeAutospacing="1" w:after="100" w:afterAutospacing="1"/>
      <w:jc w:val="left"/>
    </w:pPr>
    <w:rPr>
      <w:rFonts w:ascii="仿宋_GB2312" w:hAnsi="宋体" w:eastAsia="仿宋_GB2312" w:cs="宋体"/>
      <w:kern w:val="0"/>
      <w:sz w:val="22"/>
      <w:szCs w:val="22"/>
    </w:rPr>
  </w:style>
  <w:style w:type="paragraph" w:customStyle="1" w:styleId="26">
    <w:name w:val="font1"/>
    <w:basedOn w:val="1"/>
    <w:uiPriority w:val="0"/>
    <w:pPr>
      <w:widowControl/>
      <w:spacing w:before="100" w:beforeAutospacing="1" w:after="100" w:afterAutospacing="1"/>
      <w:jc w:val="left"/>
    </w:pPr>
    <w:rPr>
      <w:rFonts w:ascii="宋体" w:hAnsi="宋体" w:eastAsia="宋体" w:cs="宋体"/>
      <w:color w:val="000000"/>
      <w:kern w:val="0"/>
      <w:sz w:val="24"/>
    </w:rPr>
  </w:style>
  <w:style w:type="paragraph" w:customStyle="1" w:styleId="27">
    <w:name w:val="et10"/>
    <w:basedOn w:val="1"/>
    <w:uiPriority w:val="0"/>
    <w:pPr>
      <w:widowControl/>
      <w:spacing w:before="100" w:beforeAutospacing="1" w:after="100" w:afterAutospacing="1"/>
      <w:jc w:val="left"/>
    </w:pPr>
    <w:rPr>
      <w:rFonts w:ascii="Times New Roman" w:hAnsi="Times New Roman" w:eastAsia="宋体" w:cs="Times New Roman"/>
      <w:b/>
      <w:bCs/>
      <w:kern w:val="0"/>
      <w:sz w:val="32"/>
      <w:szCs w:val="32"/>
    </w:rPr>
  </w:style>
  <w:style w:type="paragraph" w:customStyle="1" w:styleId="28">
    <w:name w:val="et14"/>
    <w:basedOn w:val="1"/>
    <w:uiPriority w:val="0"/>
    <w:pPr>
      <w:widowControl/>
      <w:spacing w:before="100" w:beforeAutospacing="1" w:after="100" w:afterAutospacing="1"/>
      <w:jc w:val="left"/>
    </w:pPr>
    <w:rPr>
      <w:rFonts w:ascii="宋体" w:hAnsi="宋体" w:eastAsia="宋体" w:cs="宋体"/>
      <w:kern w:val="0"/>
      <w:sz w:val="32"/>
      <w:szCs w:val="32"/>
    </w:rPr>
  </w:style>
  <w:style w:type="paragraph" w:customStyle="1" w:styleId="29">
    <w:name w:val="et5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b/>
      <w:bCs/>
      <w:kern w:val="0"/>
      <w:sz w:val="22"/>
      <w:szCs w:val="22"/>
    </w:rPr>
  </w:style>
  <w:style w:type="paragraph" w:customStyle="1" w:styleId="30">
    <w:name w:val="et1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楷体_GB2312" w:hAnsi="宋体" w:eastAsia="楷体_GB2312" w:cs="宋体"/>
      <w:b/>
      <w:bCs/>
      <w:kern w:val="0"/>
      <w:sz w:val="32"/>
      <w:szCs w:val="32"/>
    </w:rPr>
  </w:style>
  <w:style w:type="paragraph" w:customStyle="1" w:styleId="31">
    <w:name w:val="et3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b/>
      <w:bCs/>
      <w:kern w:val="0"/>
      <w:sz w:val="22"/>
      <w:szCs w:val="22"/>
    </w:rPr>
  </w:style>
  <w:style w:type="paragraph" w:customStyle="1" w:styleId="32">
    <w:name w:val="et4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b/>
      <w:bCs/>
      <w:kern w:val="0"/>
      <w:sz w:val="22"/>
      <w:szCs w:val="22"/>
    </w:rPr>
  </w:style>
  <w:style w:type="paragraph" w:customStyle="1" w:styleId="33">
    <w:name w:val="et3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kern w:val="0"/>
      <w:sz w:val="22"/>
      <w:szCs w:val="22"/>
    </w:rPr>
  </w:style>
  <w:style w:type="paragraph" w:customStyle="1" w:styleId="34">
    <w:name w:val="et15"/>
    <w:basedOn w:val="1"/>
    <w:uiPriority w:val="0"/>
    <w:pPr>
      <w:widowControl/>
      <w:spacing w:before="100" w:beforeAutospacing="1" w:after="100" w:afterAutospacing="1"/>
      <w:jc w:val="left"/>
    </w:pPr>
    <w:rPr>
      <w:rFonts w:ascii="楷体_GB2312" w:hAnsi="宋体" w:eastAsia="楷体_GB2312" w:cs="宋体"/>
      <w:b/>
      <w:bCs/>
      <w:kern w:val="0"/>
      <w:sz w:val="32"/>
      <w:szCs w:val="32"/>
    </w:rPr>
  </w:style>
  <w:style w:type="paragraph" w:customStyle="1" w:styleId="35">
    <w:name w:val="font5"/>
    <w:basedOn w:val="1"/>
    <w:uiPriority w:val="0"/>
    <w:pPr>
      <w:widowControl/>
      <w:spacing w:before="100" w:beforeAutospacing="1" w:after="100" w:afterAutospacing="1"/>
      <w:jc w:val="left"/>
    </w:pPr>
    <w:rPr>
      <w:rFonts w:ascii="仿宋_GB2312" w:hAnsi="宋体" w:eastAsia="仿宋_GB2312" w:cs="宋体"/>
      <w:b/>
      <w:bCs/>
      <w:color w:val="000000"/>
      <w:kern w:val="0"/>
      <w:sz w:val="22"/>
      <w:szCs w:val="22"/>
    </w:rPr>
  </w:style>
  <w:style w:type="paragraph" w:customStyle="1" w:styleId="36">
    <w:name w:val="et24"/>
    <w:basedOn w:val="1"/>
    <w:uiPriority w:val="0"/>
    <w:pPr>
      <w:widowControl/>
      <w:pBdr>
        <w:top w:val="single" w:color="000000" w:sz="4" w:space="0"/>
        <w:bottom w:val="single" w:color="000000" w:sz="4" w:space="0"/>
      </w:pBdr>
      <w:spacing w:before="100" w:beforeAutospacing="1" w:after="100" w:afterAutospacing="1"/>
      <w:jc w:val="left"/>
    </w:pPr>
    <w:rPr>
      <w:rFonts w:ascii="仿宋_GB2312" w:hAnsi="宋体" w:eastAsia="仿宋_GB2312" w:cs="宋体"/>
      <w:b/>
      <w:bCs/>
      <w:kern w:val="0"/>
      <w:sz w:val="22"/>
      <w:szCs w:val="22"/>
    </w:rPr>
  </w:style>
  <w:style w:type="paragraph" w:customStyle="1" w:styleId="37">
    <w:name w:val="et3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kern w:val="0"/>
      <w:sz w:val="22"/>
      <w:szCs w:val="22"/>
    </w:rPr>
  </w:style>
  <w:style w:type="paragraph" w:customStyle="1" w:styleId="38">
    <w:name w:val="et3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kern w:val="0"/>
      <w:sz w:val="22"/>
      <w:szCs w:val="22"/>
    </w:rPr>
  </w:style>
  <w:style w:type="paragraph" w:customStyle="1" w:styleId="39">
    <w:name w:val="et2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kern w:val="0"/>
      <w:sz w:val="22"/>
      <w:szCs w:val="22"/>
    </w:rPr>
  </w:style>
  <w:style w:type="paragraph" w:customStyle="1" w:styleId="40">
    <w:name w:val="et11"/>
    <w:basedOn w:val="1"/>
    <w:uiPriority w:val="0"/>
    <w:pPr>
      <w:widowControl/>
      <w:spacing w:before="100" w:beforeAutospacing="1" w:after="100" w:afterAutospacing="1"/>
      <w:jc w:val="left"/>
      <w:textAlignment w:val="top"/>
    </w:pPr>
    <w:rPr>
      <w:rFonts w:ascii="Times New Roman" w:hAnsi="Times New Roman" w:eastAsia="宋体" w:cs="Times New Roman"/>
      <w:b/>
      <w:bCs/>
      <w:kern w:val="0"/>
      <w:sz w:val="32"/>
      <w:szCs w:val="32"/>
    </w:rPr>
  </w:style>
  <w:style w:type="paragraph" w:customStyle="1" w:styleId="41">
    <w:name w:val="font10"/>
    <w:basedOn w:val="1"/>
    <w:uiPriority w:val="0"/>
    <w:pPr>
      <w:widowControl/>
      <w:spacing w:before="100" w:beforeAutospacing="1" w:after="100" w:afterAutospacing="1"/>
      <w:jc w:val="left"/>
    </w:pPr>
    <w:rPr>
      <w:rFonts w:ascii="方正小标宋简体" w:hAnsi="宋体" w:eastAsia="方正小标宋简体" w:cs="宋体"/>
      <w:color w:val="000000"/>
      <w:kern w:val="0"/>
      <w:sz w:val="44"/>
      <w:szCs w:val="44"/>
    </w:rPr>
  </w:style>
  <w:style w:type="paragraph" w:customStyle="1" w:styleId="42">
    <w:name w:val="et3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kern w:val="0"/>
      <w:sz w:val="22"/>
      <w:szCs w:val="22"/>
    </w:rPr>
  </w:style>
  <w:style w:type="paragraph" w:customStyle="1" w:styleId="43">
    <w:name w:val="et2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b/>
      <w:bCs/>
      <w:kern w:val="0"/>
      <w:sz w:val="22"/>
      <w:szCs w:val="22"/>
    </w:rPr>
  </w:style>
  <w:style w:type="paragraph" w:customStyle="1" w:styleId="44">
    <w:name w:val="et5"/>
    <w:basedOn w:val="1"/>
    <w:uiPriority w:val="0"/>
    <w:pPr>
      <w:widowControl/>
      <w:spacing w:before="100" w:beforeAutospacing="1" w:after="100" w:afterAutospacing="1"/>
      <w:jc w:val="left"/>
    </w:pPr>
    <w:rPr>
      <w:rFonts w:ascii="宋体" w:hAnsi="宋体" w:eastAsia="宋体" w:cs="宋体"/>
      <w:kern w:val="0"/>
      <w:sz w:val="32"/>
      <w:szCs w:val="32"/>
    </w:rPr>
  </w:style>
  <w:style w:type="paragraph" w:customStyle="1" w:styleId="45">
    <w:name w:val="et42"/>
    <w:basedOn w:val="1"/>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kern w:val="0"/>
      <w:sz w:val="22"/>
      <w:szCs w:val="22"/>
    </w:rPr>
  </w:style>
  <w:style w:type="paragraph" w:customStyle="1" w:styleId="46">
    <w:name w:val="et3"/>
    <w:basedOn w:val="1"/>
    <w:uiPriority w:val="0"/>
    <w:pPr>
      <w:widowControl/>
      <w:spacing w:before="100" w:beforeAutospacing="1" w:after="100" w:afterAutospacing="1"/>
      <w:jc w:val="center"/>
    </w:pPr>
    <w:rPr>
      <w:rFonts w:ascii="宋体" w:hAnsi="宋体" w:eastAsia="宋体" w:cs="宋体"/>
      <w:kern w:val="0"/>
      <w:sz w:val="32"/>
      <w:szCs w:val="32"/>
    </w:rPr>
  </w:style>
  <w:style w:type="paragraph" w:customStyle="1" w:styleId="47">
    <w:name w:val="et17"/>
    <w:basedOn w:val="1"/>
    <w:uiPriority w:val="0"/>
    <w:pPr>
      <w:widowControl/>
      <w:spacing w:before="100" w:beforeAutospacing="1" w:after="100" w:afterAutospacing="1"/>
      <w:jc w:val="left"/>
    </w:pPr>
    <w:rPr>
      <w:rFonts w:ascii="黑体" w:hAnsi="黑体" w:eastAsia="黑体" w:cs="宋体"/>
      <w:kern w:val="0"/>
      <w:sz w:val="32"/>
      <w:szCs w:val="32"/>
    </w:rPr>
  </w:style>
  <w:style w:type="paragraph" w:customStyle="1" w:styleId="48">
    <w:name w:val="font6"/>
    <w:basedOn w:val="1"/>
    <w:uiPriority w:val="0"/>
    <w:pPr>
      <w:widowControl/>
      <w:spacing w:before="100" w:beforeAutospacing="1" w:after="100" w:afterAutospacing="1"/>
      <w:jc w:val="left"/>
    </w:pPr>
    <w:rPr>
      <w:rFonts w:ascii="仿宋_GB2312" w:hAnsi="宋体" w:eastAsia="仿宋_GB2312" w:cs="宋体"/>
      <w:color w:val="000000"/>
      <w:kern w:val="0"/>
      <w:sz w:val="22"/>
      <w:szCs w:val="22"/>
    </w:rPr>
  </w:style>
  <w:style w:type="paragraph" w:customStyle="1" w:styleId="49">
    <w:name w:val="et40"/>
    <w:basedOn w:val="1"/>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仿宋_GB2312" w:hAnsi="宋体" w:eastAsia="仿宋_GB2312" w:cs="宋体"/>
      <w:kern w:val="0"/>
      <w:sz w:val="22"/>
      <w:szCs w:val="22"/>
    </w:rPr>
  </w:style>
  <w:style w:type="paragraph" w:customStyle="1" w:styleId="50">
    <w:name w:val="et18"/>
    <w:basedOn w:val="1"/>
    <w:uiPriority w:val="0"/>
    <w:pPr>
      <w:widowControl/>
      <w:spacing w:before="100" w:beforeAutospacing="1" w:after="100" w:afterAutospacing="1"/>
      <w:jc w:val="left"/>
    </w:pPr>
    <w:rPr>
      <w:rFonts w:ascii="仿宋_GB2312" w:hAnsi="宋体" w:eastAsia="仿宋_GB2312" w:cs="宋体"/>
      <w:kern w:val="0"/>
      <w:sz w:val="32"/>
      <w:szCs w:val="32"/>
    </w:rPr>
  </w:style>
  <w:style w:type="paragraph" w:customStyle="1" w:styleId="51">
    <w:name w:val="et4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kern w:val="0"/>
      <w:sz w:val="22"/>
      <w:szCs w:val="22"/>
    </w:rPr>
  </w:style>
  <w:style w:type="paragraph" w:customStyle="1" w:styleId="52">
    <w:name w:val="et5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kern w:val="0"/>
      <w:sz w:val="22"/>
      <w:szCs w:val="22"/>
    </w:rPr>
  </w:style>
  <w:style w:type="paragraph" w:customStyle="1" w:styleId="53">
    <w:name w:val="font7"/>
    <w:basedOn w:val="1"/>
    <w:uiPriority w:val="0"/>
    <w:pPr>
      <w:widowControl/>
      <w:spacing w:before="100" w:beforeAutospacing="1" w:after="100" w:afterAutospacing="1"/>
      <w:jc w:val="left"/>
    </w:pPr>
    <w:rPr>
      <w:rFonts w:ascii="Times New Roman" w:hAnsi="Times New Roman" w:eastAsia="宋体" w:cs="Times New Roman"/>
      <w:color w:val="000000"/>
      <w:kern w:val="0"/>
      <w:sz w:val="32"/>
      <w:szCs w:val="32"/>
    </w:rPr>
  </w:style>
  <w:style w:type="paragraph" w:customStyle="1" w:styleId="54">
    <w:name w:val="et7"/>
    <w:basedOn w:val="1"/>
    <w:uiPriority w:val="0"/>
    <w:pPr>
      <w:widowControl/>
      <w:spacing w:before="100" w:beforeAutospacing="1" w:after="100" w:afterAutospacing="1"/>
      <w:jc w:val="left"/>
    </w:pPr>
    <w:rPr>
      <w:rFonts w:ascii="宋体" w:hAnsi="宋体" w:eastAsia="宋体" w:cs="宋体"/>
      <w:kern w:val="0"/>
      <w:sz w:val="32"/>
      <w:szCs w:val="32"/>
    </w:rPr>
  </w:style>
  <w:style w:type="paragraph" w:customStyle="1" w:styleId="55">
    <w:name w:val="font0"/>
    <w:basedOn w:val="1"/>
    <w:uiPriority w:val="0"/>
    <w:pPr>
      <w:widowControl/>
      <w:spacing w:before="100" w:beforeAutospacing="1" w:after="100" w:afterAutospacing="1"/>
      <w:jc w:val="left"/>
    </w:pPr>
    <w:rPr>
      <w:rFonts w:ascii="仿宋_GB2312" w:hAnsi="宋体" w:eastAsia="仿宋_GB2312" w:cs="宋体"/>
      <w:color w:val="000000"/>
      <w:kern w:val="0"/>
      <w:sz w:val="22"/>
      <w:szCs w:val="22"/>
    </w:rPr>
  </w:style>
  <w:style w:type="paragraph" w:customStyle="1" w:styleId="56">
    <w:name w:val="font3"/>
    <w:basedOn w:val="1"/>
    <w:uiPriority w:val="0"/>
    <w:pPr>
      <w:widowControl/>
      <w:spacing w:before="100" w:beforeAutospacing="1" w:after="100" w:afterAutospacing="1"/>
      <w:jc w:val="left"/>
    </w:pPr>
    <w:rPr>
      <w:rFonts w:ascii="Times New Roman" w:hAnsi="Times New Roman" w:eastAsia="宋体" w:cs="Times New Roman"/>
      <w:b/>
      <w:bCs/>
      <w:color w:val="000000"/>
      <w:kern w:val="0"/>
      <w:sz w:val="32"/>
      <w:szCs w:val="32"/>
    </w:rPr>
  </w:style>
  <w:style w:type="paragraph" w:customStyle="1" w:styleId="57">
    <w:name w:val="et23"/>
    <w:basedOn w:val="1"/>
    <w:uiPriority w:val="0"/>
    <w:pPr>
      <w:widowControl/>
      <w:pBdr>
        <w:top w:val="single" w:color="000000" w:sz="4" w:space="0"/>
        <w:left w:val="single" w:color="000000" w:sz="4" w:space="0"/>
        <w:bottom w:val="single" w:color="000000" w:sz="4" w:space="0"/>
      </w:pBdr>
      <w:spacing w:before="100" w:beforeAutospacing="1" w:after="100" w:afterAutospacing="1"/>
      <w:jc w:val="left"/>
    </w:pPr>
    <w:rPr>
      <w:rFonts w:ascii="仿宋_GB2312" w:hAnsi="宋体" w:eastAsia="仿宋_GB2312" w:cs="宋体"/>
      <w:b/>
      <w:bCs/>
      <w:kern w:val="0"/>
      <w:sz w:val="22"/>
      <w:szCs w:val="22"/>
    </w:rPr>
  </w:style>
  <w:style w:type="paragraph" w:customStyle="1" w:styleId="58">
    <w:name w:val="et3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b/>
      <w:bCs/>
      <w:kern w:val="0"/>
      <w:sz w:val="22"/>
      <w:szCs w:val="22"/>
    </w:rPr>
  </w:style>
  <w:style w:type="paragraph" w:customStyle="1" w:styleId="59">
    <w:name w:val="et4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top"/>
    </w:pPr>
    <w:rPr>
      <w:rFonts w:ascii="仿宋_GB2312" w:hAnsi="宋体" w:eastAsia="仿宋_GB2312" w:cs="宋体"/>
      <w:kern w:val="0"/>
      <w:sz w:val="22"/>
      <w:szCs w:val="22"/>
    </w:rPr>
  </w:style>
  <w:style w:type="paragraph" w:customStyle="1" w:styleId="60">
    <w:name w:val="et2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kern w:val="0"/>
      <w:sz w:val="22"/>
      <w:szCs w:val="22"/>
    </w:rPr>
  </w:style>
  <w:style w:type="paragraph" w:customStyle="1" w:styleId="61">
    <w:name w:val="et4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color w:val="000000"/>
      <w:kern w:val="0"/>
      <w:sz w:val="22"/>
      <w:szCs w:val="22"/>
    </w:rPr>
  </w:style>
  <w:style w:type="paragraph" w:customStyle="1" w:styleId="62">
    <w:name w:val="et2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kern w:val="0"/>
      <w:sz w:val="22"/>
      <w:szCs w:val="22"/>
    </w:rPr>
  </w:style>
  <w:style w:type="paragraph" w:customStyle="1" w:styleId="63">
    <w:name w:val="et2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b/>
      <w:bCs/>
      <w:kern w:val="0"/>
      <w:sz w:val="22"/>
      <w:szCs w:val="22"/>
    </w:rPr>
  </w:style>
  <w:style w:type="paragraph" w:customStyle="1" w:styleId="64">
    <w:name w:val="font9"/>
    <w:basedOn w:val="1"/>
    <w:uiPriority w:val="0"/>
    <w:pPr>
      <w:widowControl/>
      <w:spacing w:before="100" w:beforeAutospacing="1" w:after="100" w:afterAutospacing="1"/>
      <w:jc w:val="left"/>
    </w:pPr>
    <w:rPr>
      <w:rFonts w:ascii="黑体" w:hAnsi="黑体" w:eastAsia="黑体" w:cs="宋体"/>
      <w:color w:val="000000"/>
      <w:kern w:val="0"/>
      <w:sz w:val="32"/>
      <w:szCs w:val="32"/>
    </w:rPr>
  </w:style>
  <w:style w:type="character" w:customStyle="1" w:styleId="65">
    <w:name w:val="font61"/>
    <w:basedOn w:val="6"/>
    <w:uiPriority w:val="0"/>
    <w:rPr>
      <w:rFonts w:hint="eastAsia" w:ascii="仿宋_GB2312" w:hAnsi="Times New Roman" w:eastAsia="仿宋_GB2312" w:cs="Times New Roman"/>
      <w:color w:val="000000"/>
      <w:sz w:val="22"/>
      <w:szCs w:val="22"/>
      <w:u w:val="none"/>
    </w:rPr>
  </w:style>
  <w:style w:type="character" w:customStyle="1" w:styleId="66">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242</Words>
  <Characters>1381</Characters>
  <Lines>11</Lines>
  <Paragraphs>3</Paragraphs>
  <TotalTime>0</TotalTime>
  <ScaleCrop>false</ScaleCrop>
  <LinksUpToDate>false</LinksUpToDate>
  <CharactersWithSpaces>1620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2020-03-06T12:16:00Z</dcterms:created>
  <dc:creator>印务中心</dc:creator>
  <cp:lastModifiedBy>珺</cp:lastModifiedBy>
  <cp:lastPrinted>2020-03-10T00:40:20Z</cp:lastPrinted>
  <dcterms:modified xsi:type="dcterms:W3CDTF">2020-07-07T09:29:14Z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